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"Kulturní centrum - Pi</w:t>
      </w:r>
      <w:r w:rsidRPr="00471E9B">
        <w:rPr>
          <w:rFonts w:ascii="Arial" w:hAnsi="Arial" w:cs="Arial"/>
          <w:b/>
          <w:sz w:val="36"/>
          <w:szCs w:val="36"/>
        </w:rPr>
        <w:t xml:space="preserve">vovar </w:t>
      </w:r>
      <w:r>
        <w:rPr>
          <w:rFonts w:ascii="Arial" w:hAnsi="Arial" w:cs="Arial"/>
          <w:b/>
          <w:sz w:val="36"/>
          <w:szCs w:val="36"/>
        </w:rPr>
        <w:t>–</w:t>
      </w:r>
      <w:r w:rsidRPr="00471E9B">
        <w:rPr>
          <w:rFonts w:ascii="Arial" w:hAnsi="Arial" w:cs="Arial"/>
          <w:b/>
          <w:sz w:val="36"/>
          <w:szCs w:val="36"/>
        </w:rPr>
        <w:t xml:space="preserve"> Domažlic</w:t>
      </w:r>
      <w:r>
        <w:rPr>
          <w:rFonts w:ascii="Arial" w:hAnsi="Arial" w:cs="Arial"/>
          <w:b/>
          <w:sz w:val="36"/>
          <w:szCs w:val="36"/>
        </w:rPr>
        <w:t>e,</w:t>
      </w:r>
    </w:p>
    <w:p w:rsidR="00A01617" w:rsidRDefault="00346836" w:rsidP="0034683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jižní křídlo – </w:t>
      </w:r>
    </w:p>
    <w:p w:rsidR="00346836" w:rsidRPr="0085622E" w:rsidRDefault="00346836" w:rsidP="0034683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komunitní centrum v 1. a ve 2.NP"</w:t>
      </w:r>
    </w:p>
    <w:p w:rsidR="00A01617" w:rsidRDefault="00A01617" w:rsidP="00346836">
      <w:pPr>
        <w:jc w:val="center"/>
        <w:rPr>
          <w:rFonts w:ascii="Arial" w:hAnsi="Arial" w:cs="Arial"/>
          <w:b/>
          <w:sz w:val="22"/>
          <w:szCs w:val="2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obec Domažlice – Týnské předměstí, 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AB29B6">
        <w:rPr>
          <w:rFonts w:ascii="Arial" w:hAnsi="Arial" w:cs="Arial"/>
          <w:sz w:val="20"/>
          <w:szCs w:val="20"/>
        </w:rPr>
        <w:t>stavba zahrnuje</w:t>
      </w:r>
      <w:r>
        <w:rPr>
          <w:rFonts w:ascii="Arial" w:hAnsi="Arial" w:cs="Arial"/>
          <w:sz w:val="20"/>
          <w:szCs w:val="20"/>
        </w:rPr>
        <w:t>: budovu bez čp.</w:t>
      </w:r>
      <w:r w:rsidRPr="00AB29B6">
        <w:rPr>
          <w:rFonts w:ascii="Arial" w:hAnsi="Arial" w:cs="Arial"/>
          <w:sz w:val="20"/>
          <w:szCs w:val="20"/>
        </w:rPr>
        <w:t xml:space="preserve"> na stav. parcele </w:t>
      </w:r>
      <w:proofErr w:type="gramStart"/>
      <w:r w:rsidRPr="00AB29B6">
        <w:rPr>
          <w:rFonts w:ascii="Arial" w:hAnsi="Arial" w:cs="Arial"/>
          <w:sz w:val="20"/>
          <w:szCs w:val="20"/>
        </w:rPr>
        <w:t>č.st.</w:t>
      </w:r>
      <w:proofErr w:type="gramEnd"/>
      <w:r w:rsidRPr="00AB29B6">
        <w:rPr>
          <w:rFonts w:ascii="Arial" w:hAnsi="Arial" w:cs="Arial"/>
          <w:sz w:val="20"/>
          <w:szCs w:val="20"/>
        </w:rPr>
        <w:t>498/11,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pozemek –stavební parcela 498/11, budovu </w:t>
      </w:r>
      <w:proofErr w:type="gramStart"/>
      <w:r>
        <w:rPr>
          <w:rFonts w:ascii="Arial" w:hAnsi="Arial" w:cs="Arial"/>
          <w:sz w:val="20"/>
          <w:szCs w:val="20"/>
        </w:rPr>
        <w:t>čp.10</w:t>
      </w:r>
      <w:proofErr w:type="gramEnd"/>
      <w:r>
        <w:rPr>
          <w:rFonts w:ascii="Arial" w:hAnsi="Arial" w:cs="Arial"/>
          <w:sz w:val="20"/>
          <w:szCs w:val="20"/>
        </w:rPr>
        <w:t xml:space="preserve"> na stav. parcele 498/10,</w:t>
      </w:r>
    </w:p>
    <w:p w:rsidR="00346836" w:rsidRPr="00AB29B6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pozemek stav. </w:t>
      </w:r>
      <w:proofErr w:type="gramStart"/>
      <w:r>
        <w:rPr>
          <w:rFonts w:ascii="Arial" w:hAnsi="Arial" w:cs="Arial"/>
          <w:sz w:val="20"/>
          <w:szCs w:val="20"/>
        </w:rPr>
        <w:t>parcela</w:t>
      </w:r>
      <w:proofErr w:type="gramEnd"/>
      <w:r>
        <w:rPr>
          <w:rFonts w:ascii="Arial" w:hAnsi="Arial" w:cs="Arial"/>
          <w:sz w:val="20"/>
          <w:szCs w:val="20"/>
        </w:rPr>
        <w:t xml:space="preserve"> 498/10, pozemek parc.č.5408/1 a pozemek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5408/2</w:t>
      </w:r>
    </w:p>
    <w:p w:rsidR="00346836" w:rsidRPr="0020634E" w:rsidRDefault="00A01617" w:rsidP="00346836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P</w:t>
      </w:r>
      <w:r w:rsidR="00346836">
        <w:rPr>
          <w:rFonts w:ascii="Arial" w:hAnsi="Arial" w:cs="Arial"/>
          <w:b/>
          <w:sz w:val="36"/>
          <w:szCs w:val="36"/>
        </w:rPr>
        <w:t>rojekt interiéru</w:t>
      </w: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inline distT="0" distB="0" distL="0" distR="0" wp14:anchorId="48CD4199" wp14:editId="055A6087">
            <wp:extent cx="3149065" cy="4457700"/>
            <wp:effectExtent l="0" t="0" r="0" b="0"/>
            <wp:docPr id="6" name="Obrázek 6" descr="C:\Users\Ivan\Desktop\klubové centrum zakres NAH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Ivan\Desktop\klubové centrum zakres NAHLE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589" cy="44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Pr="008025B2">
        <w:rPr>
          <w:rFonts w:ascii="Arial" w:hAnsi="Arial" w:cs="Arial"/>
          <w:b/>
          <w:sz w:val="20"/>
          <w:szCs w:val="20"/>
        </w:rPr>
        <w:t>ypracoval: MEPRO s.r.o.</w:t>
      </w:r>
    </w:p>
    <w:p w:rsidR="00346836" w:rsidRPr="00263B9A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sz w:val="20"/>
          <w:szCs w:val="20"/>
        </w:rPr>
        <w:t xml:space="preserve">Zastoupený </w:t>
      </w:r>
      <w:proofErr w:type="spellStart"/>
      <w:r w:rsidRPr="00263B9A">
        <w:rPr>
          <w:rFonts w:ascii="Arial" w:hAnsi="Arial" w:cs="Arial"/>
          <w:sz w:val="20"/>
          <w:szCs w:val="20"/>
        </w:rPr>
        <w:t>Ing.</w:t>
      </w:r>
      <w:proofErr w:type="gramStart"/>
      <w:r w:rsidRPr="00263B9A">
        <w:rPr>
          <w:rFonts w:ascii="Arial" w:hAnsi="Arial" w:cs="Arial"/>
          <w:sz w:val="20"/>
          <w:szCs w:val="20"/>
        </w:rPr>
        <w:t>arch.I.Březinou</w:t>
      </w:r>
      <w:proofErr w:type="spellEnd"/>
      <w:proofErr w:type="gramEnd"/>
      <w:r w:rsidRPr="00263B9A">
        <w:rPr>
          <w:rFonts w:ascii="Arial" w:hAnsi="Arial" w:cs="Arial"/>
          <w:sz w:val="20"/>
          <w:szCs w:val="20"/>
        </w:rPr>
        <w:t xml:space="preserve"> – jednatelem spol. </w:t>
      </w:r>
      <w:proofErr w:type="spellStart"/>
      <w:r w:rsidRPr="00263B9A">
        <w:rPr>
          <w:rFonts w:ascii="Arial" w:hAnsi="Arial" w:cs="Arial"/>
          <w:sz w:val="20"/>
          <w:szCs w:val="20"/>
        </w:rPr>
        <w:t>s,r,o</w:t>
      </w:r>
      <w:proofErr w:type="spellEnd"/>
      <w:r w:rsidRPr="00263B9A">
        <w:rPr>
          <w:rFonts w:ascii="Arial" w:hAnsi="Arial" w:cs="Arial"/>
          <w:sz w:val="20"/>
          <w:szCs w:val="20"/>
        </w:rPr>
        <w:t>,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 w:rsidRPr="008025B2">
        <w:rPr>
          <w:rFonts w:ascii="Arial" w:hAnsi="Arial" w:cs="Arial"/>
          <w:sz w:val="20"/>
          <w:szCs w:val="20"/>
        </w:rPr>
        <w:t>Nám. Před bateriemi 912/6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proofErr w:type="gramStart"/>
      <w:r w:rsidRPr="008025B2">
        <w:rPr>
          <w:rFonts w:ascii="Arial" w:hAnsi="Arial" w:cs="Arial"/>
          <w:sz w:val="20"/>
          <w:szCs w:val="20"/>
        </w:rPr>
        <w:t>162 00</w:t>
      </w:r>
      <w:r>
        <w:rPr>
          <w:rFonts w:ascii="Arial" w:hAnsi="Arial" w:cs="Arial"/>
          <w:sz w:val="20"/>
          <w:szCs w:val="20"/>
        </w:rPr>
        <w:t>,</w:t>
      </w:r>
      <w:r w:rsidRPr="008025B2">
        <w:rPr>
          <w:rFonts w:ascii="Arial" w:hAnsi="Arial" w:cs="Arial"/>
          <w:sz w:val="20"/>
          <w:szCs w:val="20"/>
        </w:rPr>
        <w:t xml:space="preserve">  Praha</w:t>
      </w:r>
      <w:proofErr w:type="gramEnd"/>
      <w:r w:rsidRPr="008025B2">
        <w:rPr>
          <w:rFonts w:ascii="Arial" w:hAnsi="Arial" w:cs="Arial"/>
          <w:sz w:val="20"/>
          <w:szCs w:val="20"/>
        </w:rPr>
        <w:t xml:space="preserve"> 6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8025B2">
        <w:rPr>
          <w:rFonts w:ascii="Arial" w:hAnsi="Arial" w:cs="Arial"/>
          <w:sz w:val="20"/>
          <w:szCs w:val="20"/>
        </w:rPr>
        <w:t xml:space="preserve">IČ: </w:t>
      </w:r>
      <w:proofErr w:type="gramStart"/>
      <w:r w:rsidRPr="008025B2">
        <w:rPr>
          <w:rFonts w:ascii="Arial" w:hAnsi="Arial" w:cs="Arial"/>
          <w:sz w:val="20"/>
          <w:szCs w:val="20"/>
        </w:rPr>
        <w:t>48025721,DIČ</w:t>
      </w:r>
      <w:proofErr w:type="gramEnd"/>
      <w:r w:rsidRPr="008025B2">
        <w:rPr>
          <w:rFonts w:ascii="Arial" w:hAnsi="Arial" w:cs="Arial"/>
          <w:sz w:val="20"/>
          <w:szCs w:val="20"/>
        </w:rPr>
        <w:t>: CZ48025721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 KČA: 00 352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b/>
          <w:sz w:val="20"/>
          <w:szCs w:val="20"/>
        </w:rPr>
        <w:t>Termín</w:t>
      </w:r>
      <w:r w:rsidRPr="008025B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říjen </w:t>
      </w:r>
      <w:r w:rsidRPr="008025B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18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263B9A">
        <w:rPr>
          <w:rFonts w:ascii="Arial" w:hAnsi="Arial" w:cs="Arial"/>
          <w:b/>
          <w:sz w:val="20"/>
          <w:szCs w:val="20"/>
        </w:rPr>
        <w:t>Zak</w:t>
      </w:r>
      <w:proofErr w:type="spellEnd"/>
      <w:r w:rsidRPr="00263B9A"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 w:rsidRPr="00263B9A">
        <w:rPr>
          <w:rFonts w:ascii="Arial" w:hAnsi="Arial" w:cs="Arial"/>
          <w:b/>
          <w:sz w:val="20"/>
          <w:szCs w:val="20"/>
        </w:rPr>
        <w:t>číslo</w:t>
      </w:r>
      <w:proofErr w:type="gramEnd"/>
      <w:r>
        <w:rPr>
          <w:rFonts w:ascii="Arial" w:hAnsi="Arial" w:cs="Arial"/>
          <w:sz w:val="20"/>
          <w:szCs w:val="20"/>
        </w:rPr>
        <w:t>:  26 - 10</w:t>
      </w:r>
      <w:r w:rsidRPr="00263B9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</w:pPr>
      <w:r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  <w:lastRenderedPageBreak/>
        <w:t>Průvodní zpráva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  <w:t>k projektové dokumentaci interiéru jižního křídla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</w:pP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stavbě:</w:t>
      </w:r>
    </w:p>
    <w:p w:rsidR="00346836" w:rsidRDefault="00346836" w:rsidP="003468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Název stavby :</w:t>
      </w:r>
      <w:r w:rsidRPr="00101CEE">
        <w:rPr>
          <w:rFonts w:ascii="Arial" w:hAnsi="Arial" w:cs="Arial"/>
          <w:sz w:val="22"/>
          <w:szCs w:val="22"/>
        </w:rPr>
        <w:t>"Kulturní centrum - Pivovar – Domažlice,</w:t>
      </w:r>
      <w:r>
        <w:rPr>
          <w:rFonts w:ascii="Arial" w:hAnsi="Arial" w:cs="Arial"/>
          <w:sz w:val="22"/>
          <w:szCs w:val="22"/>
        </w:rPr>
        <w:t xml:space="preserve"> </w:t>
      </w:r>
      <w:r w:rsidRPr="00101CEE">
        <w:rPr>
          <w:rFonts w:ascii="Arial" w:hAnsi="Arial" w:cs="Arial"/>
          <w:sz w:val="22"/>
          <w:szCs w:val="22"/>
        </w:rPr>
        <w:t xml:space="preserve">jižní křídlo – změna </w:t>
      </w:r>
      <w:proofErr w:type="gramStart"/>
      <w:r w:rsidRPr="00101CEE">
        <w:rPr>
          <w:rFonts w:ascii="Arial" w:hAnsi="Arial" w:cs="Arial"/>
          <w:sz w:val="22"/>
          <w:szCs w:val="22"/>
        </w:rPr>
        <w:t>využití 1.PP</w:t>
      </w:r>
      <w:proofErr w:type="gramEnd"/>
      <w:r w:rsidRPr="00101CEE">
        <w:rPr>
          <w:rFonts w:ascii="Arial" w:hAnsi="Arial" w:cs="Arial"/>
          <w:sz w:val="22"/>
          <w:szCs w:val="22"/>
        </w:rPr>
        <w:t xml:space="preserve"> z marketu na pivnici se zázemím, interiér pivnice v 1.PP, komunitní centrum v 1. a ve 2.NP"</w:t>
      </w:r>
    </w:p>
    <w:p w:rsidR="00346836" w:rsidRPr="00101CEE" w:rsidRDefault="00346836" w:rsidP="003468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interiéru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b) Místo stavby: Domažlice – Týnské předměstí, Komenského ulice č. p. 10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k.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ú.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Domažlice v lokalitách určených platným územním plánem pro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stavba pro výrobu a skladování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stavebníkovi: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Objednatel: Město Domažlice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Domažlice, náměstí Míru 1, PSČ: 344 20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IČ: 00253316, DIČ: 00253316,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jednající ve věcech smluvních Ing. Miroslavem Machem, starostou,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tel.: 379719144, 379719111,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fax: 379 722 763,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miroslav.mach@mesto-domazlice.cz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jednající ve věcech technických Bc. Michalem Hájkem,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vedoucím odboru správy majetku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, tel.: 379719172,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michal.hajek@mesto-domazlice.cz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Bankovní spojení: Československá obchodní banka a.s.,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číslo účtu: 109782851/0300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zpracovateli projektové dokumentace: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Zpracovatel:: MEPRO s.r.o. zastoupené Ing. arch. Ivanem Březinou – jednatelem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spol. s.r.o.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se sídlem Nám. Před bateriemi 912/6, 162 00 Praha 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IČO: 48025721, DIČ: CZ 48025721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zapsán u Městského soudu v Praze, vložka C/14141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bank.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spoj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.: KB Praha 5, </w:t>
      </w:r>
      <w:proofErr w:type="spellStart"/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č.ú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.: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67301 - 051/0100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mepro.brezina@gmail.com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tel.: 420 224 321 243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Autoři návrhu: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Ing. arch. I. Březina ČKA 00 352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ng. arch. </w:t>
      </w:r>
      <w:r>
        <w:rPr>
          <w:rFonts w:ascii="Arial" w:eastAsiaTheme="minorHAnsi" w:hAnsi="Arial" w:cs="Arial"/>
          <w:sz w:val="22"/>
          <w:szCs w:val="22"/>
          <w:lang w:eastAsia="en-US"/>
        </w:rPr>
        <w:t>Š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Ullwerová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ČKA 04 7</w:t>
      </w:r>
      <w:r>
        <w:rPr>
          <w:rFonts w:ascii="Arial" w:eastAsiaTheme="minorHAnsi" w:hAnsi="Arial" w:cs="Arial"/>
          <w:sz w:val="22"/>
          <w:szCs w:val="22"/>
          <w:lang w:eastAsia="en-US"/>
        </w:rPr>
        <w:t>66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Ing. arch. M. Březina ČKA 04 209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spoluautoři ze studie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 roku 2012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: Ing. arch. Michal Černý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Ing. arch. Marcel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Ružička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Dipl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 Ing. arch. Max Reinhardt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Dipl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. Ing. arch. Otto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Wetzig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Druh dok.: Projektová dokumentace interiérů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Termín: </w:t>
      </w:r>
      <w:r>
        <w:rPr>
          <w:rFonts w:ascii="Arial" w:eastAsiaTheme="minorHAnsi" w:hAnsi="Arial" w:cs="Arial"/>
          <w:sz w:val="22"/>
          <w:szCs w:val="22"/>
          <w:lang w:eastAsia="en-US"/>
        </w:rPr>
        <w:t>říjen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201</w:t>
      </w:r>
      <w:r>
        <w:rPr>
          <w:rFonts w:ascii="Arial" w:eastAsiaTheme="minorHAnsi" w:hAnsi="Arial" w:cs="Arial"/>
          <w:sz w:val="22"/>
          <w:szCs w:val="22"/>
          <w:lang w:eastAsia="en-US"/>
        </w:rPr>
        <w:t>8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Dodavatel: Dosud neurčen, bude určen na podkladě výběrového řízení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proofErr w:type="gramStart"/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A.2 Seznam</w:t>
      </w:r>
      <w:proofErr w:type="gramEnd"/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vstupních podkladů: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požadavky objednatele na rekonstrukci objektu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digitální zaměření objektu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odborná literatura o Domažlicích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podklady z archivu MÚ Domažlice – původní archivní plány,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nekompletní, plány přestaveb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ÚPD – SU Domažlice byla zpracována studiem KAPA Ing. arch. P. Vávrou v roce 2009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vlastní prohlídka na místě a fotodokumentace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- technická mapa 1 : 1000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výpis z katastru nemovitostí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podklady od správců sítí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Posouzení dřevěných konstrukcí v objektu Ing. arch. Z. Lukešová 02/ 2013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Návrh stavby pro projednání - MEPRO s.r.o. 10/2012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projednání na NPÚ Plzeň, OPP MÚ Domažlice,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veřejnoprávní smlouva č. j. MeDO-22329/2013-Sz ze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6.6.2013</w:t>
      </w:r>
      <w:proofErr w:type="gram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dále – podrobně - viz dokladová část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PD pro získání DÚR – MEPRO s.r.o.10/2012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vydána veřejnoprávní smlouva – MÚ Domažlice ze dne 15.7.2013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č.j.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MěDO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– 22329/2013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Sz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DSP zpracovaná ateliérem MEPRO s.r.o. v 02/2013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vydané SP na akci Kulturní centrum "Pivovar Domažlice ze dne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25.01.2014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, Město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Domažlice č. j. MeDO-769/2014-Sz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Závazné stanovisko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Domažlice úsek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pam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 péče č. j. MeDo-17206/2013-Hin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DPS – Pivovar Domažlice - Hvozd I. etapa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DPS dopracování Kulturního centra Pivovar Domažlice 01/2016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Rozsah řešeného území: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Jedná se o areál bývalého pivovaru v Domažlicích – Týnské předměstí, ulice Komenského č. p. 10.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Nachází se v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intravilánu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města Domažlice v přímé vazbě na městské centrum, v jeho bezprostředním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okolí se nachází supermarket s přilehlým veřejným parkovištěm.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Projekt řeší přeměnu objektu bývalého pivovaru v Domažlicích na kulturní centrum II. etapa </w:t>
      </w:r>
      <w:r>
        <w:rPr>
          <w:rFonts w:ascii="Arial" w:eastAsiaTheme="minorHAnsi" w:hAnsi="Arial" w:cs="Arial"/>
          <w:sz w:val="22"/>
          <w:szCs w:val="22"/>
          <w:lang w:eastAsia="en-US"/>
        </w:rPr>
        <w:t>–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jižní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křídlo. Hvozd – I. etapa rekonstrukčních prací byl dokončen a uveden do provozu v roce 2015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Objekt Pivovaru se nachází na okraji Městské památkové rezervace v přímé návaznosti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 ulici Komenského. Areál se skládá z jižní třípodlažní části (staré sladovny), střední šestipodlažní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části (hvozdu) a západní pětipodlažní části (nové sladovny). Střední část - hvozd je již rekonstruovaná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a propojuje jižní a západní křídlo. Obslužná komunikace zpřístupňuje areál kulturního centra pro pěší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a automobilovou dopravu. Celá stavba bude realizována pouze na pozemcích určených k výstavbě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 majetku objednatele.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Stávající využití domu: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Prostory 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jižn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ího křídla objektu jsou prázdné, vyklizené a nevyužívané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a stavba byla zahájena.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Dnes </w:t>
      </w:r>
      <w:r>
        <w:rPr>
          <w:rFonts w:ascii="Arial" w:eastAsiaTheme="minorHAnsi" w:hAnsi="Arial" w:cs="Arial"/>
          <w:sz w:val="22"/>
          <w:szCs w:val="22"/>
          <w:lang w:eastAsia="en-US"/>
        </w:rPr>
        <w:t>není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objekt stabilizován a má vážné viditelné statické poruchy dřevěn</w:t>
      </w:r>
      <w:r>
        <w:rPr>
          <w:rFonts w:ascii="Arial" w:eastAsiaTheme="minorHAnsi" w:hAnsi="Arial" w:cs="Arial"/>
          <w:sz w:val="22"/>
          <w:szCs w:val="22"/>
          <w:lang w:eastAsia="en-US"/>
        </w:rPr>
        <w:t>ých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konstrukc</w:t>
      </w:r>
      <w:r>
        <w:rPr>
          <w:rFonts w:ascii="Arial" w:eastAsiaTheme="minorHAnsi" w:hAnsi="Arial" w:cs="Arial"/>
          <w:sz w:val="22"/>
          <w:szCs w:val="22"/>
          <w:lang w:eastAsia="en-US"/>
        </w:rPr>
        <w:t>í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a to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zejména v 1.NP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 v 2.NP a krovu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 Na fasádě jsou patrné pouze malé vlasové trhliny. Vlivem dlouhodobě nedostatečné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údržby je však celkový stav konstrukcí ve špatném stavu. Konstrukce jsou místy mokré, omítky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poškozené, do objektu zatéká.</w:t>
      </w:r>
    </w:p>
    <w:p w:rsidR="00346836" w:rsidRPr="009C0A5A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u w:val="single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Krov je dřevěný vaznicový poničený, napadený dřevokaznými houbami a poškozen brouky a plísní.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Trámové stropy jsou po provedených sondách určeny k celkové sanaci a výměně části stropních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konstrukcí, napadené jsou i nosné dřevěné sloupy. Klempířské prvky z pozinkovaného plechu jsou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rovněž poničené.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C0A5A">
        <w:rPr>
          <w:rFonts w:ascii="Arial" w:eastAsiaTheme="minorHAnsi" w:hAnsi="Arial" w:cs="Arial"/>
          <w:i/>
          <w:sz w:val="22"/>
          <w:szCs w:val="22"/>
          <w:u w:val="single"/>
          <w:lang w:eastAsia="en-US"/>
        </w:rPr>
        <w:t>Rekonstrukční práce byly již zahájeny.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Historie objektu pivovaru Domažlice: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O výrobě piva v Domažlicích existuje první písemná zmínka z roku 1341, i když je zřejmé, že pivo se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zde vařilo již dříve, neboť daná listina pouze vykazuje sladovníky (a kováře) z města na předměstí.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16. století se v písemných zprávách jmenovitě uvádí již pět pivovarů; v době tehdejšího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hospodářského rozmachu zde pivovarnictví prosperovalo a výsledný produkt byl vyvážen i do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zahraničí.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Předmětné objekty byly vystavěny v poslední dekádě 19. století, kdy byl realizován záměr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modernizace obecního pivovaru v Domažlicích. Tehdejší pražská firma Novák a Jahn dokončila v roce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1892 varnu a o čtyři roky později i sladovnu. Po přelomu století pivovar provází rozmach a s tím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spojená další výstavba (sklepy, kotelna atd.); k útlumu dochází až během války, kdy je pivovar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dokonce přechodně uzavřen (1.6. -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3.10.1917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). V roce 1919 je zapsán jako Obecní pivovar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Domažlicích a výroba se rozbíhá jen pomalu. Roku 1936 se název mění na Pivovar města Domažlic.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poválečných letech jsou v pivovaru prováděny rozsáhlé opravy a modernizace, jež se stávají vůbec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nejnákladnější investicí v jeho historii. Po znárodnění je pivovar včleněn do podniku Západočeské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pivovary a další částečná obnova přichází až koncem 60. let minulého staletí.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V 80. letech minulého století se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stává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součástí podniku Plzeňské pivovary s. p.. Z té doby také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pocházel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zdejší komín, který se stal jedním z posledních z cihel postavených továrních komínů na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území republiky. Stavěn byl ve dnech 20. 8. až 2. 11. 1984. V roce 1994 přechází pivovar pod Plzeňský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Prazdroj a.s., sdružující tehdy pivovary Prazdroj, Gambrinus, Karlovy Vary, Domažlice a sladovnu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Plzni (později i pivovar v Chebu). Toho roku bylo vystaveno 157 000 hl piva a hlavním produktem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zůstával Purkmistr 12 %, o dva roky později ale společnost pivovar uzavírá a originální značky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domažlického piva (Purkmistr, Prior, Radní) zanikají.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 roce 2002 se chátrající objekt stává majetkem města a na jaře 2004 je jeho část postupně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demolována. V dubnu toho roku je rozebrán i komín, který se tak nestihl "dožít" ani svých dvacátých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narozenin. Celkové demoliční práce skončily 28. května 2004 a na vzniklém prostranství vyrostl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supermarket Kaufland, jemuž musela ustoupit většina původních budov. Zůstala původní stará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sladovna, nová sladovna a hvozd. Torzo původního souboru objektů bylo naštěstí v rychlém sledu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prohlášeno za kulturní památku, což zabránilo dokončení kompletní demolice.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 záchranu tohoto objektu byla v roce 2012 vypsána architektonická soutěž a díky tomu objekt nyní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opět postupně ožívá a získává zpět ztracenou důstojnost. Do objektu se opět vrátí výroba piva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vzniká zde nové kulturní a vzdělávací centrum.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Účel užívání stavby: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Hlavním cílem projektu je navrátit budově život a rovněž i původní funkci, o kterou přišla v roce 1996,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kdy byl pivovar uzavřen, od té doby </w:t>
      </w:r>
      <w:r>
        <w:rPr>
          <w:rFonts w:ascii="Arial" w:eastAsiaTheme="minorHAnsi" w:hAnsi="Arial" w:cs="Arial"/>
          <w:sz w:val="22"/>
          <w:szCs w:val="22"/>
          <w:lang w:eastAsia="en-US"/>
        </w:rPr>
        <w:t>byl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objekt prázdný a chátr</w:t>
      </w:r>
      <w:r>
        <w:rPr>
          <w:rFonts w:ascii="Arial" w:eastAsiaTheme="minorHAnsi" w:hAnsi="Arial" w:cs="Arial"/>
          <w:sz w:val="22"/>
          <w:szCs w:val="22"/>
          <w:lang w:eastAsia="en-US"/>
        </w:rPr>
        <w:t>al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V roce 2015 byla otevřena první část objektu a Hvozd – sloužící jako informační centrum a spojovací prvek mezi oběma křídly.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Již</w:t>
      </w: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ní křídlo –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Stará</w:t>
      </w: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sladovna: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Obecné zásady: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Při rekonstrukci všech částí pivovaru jdeme cestou jednoduchosti, která maximálně zachovává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otevřenost ploch jednotlivých křídel a umožňuje tak nejlepší vyznění původní přiznané nosné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dřevěné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konstrukce. Návrh je proveden tak, aby na prvním místě nechal vyniknout stávající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klenby, kamenné a dřevěné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konstrukce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doplnil je pouze vhodným akcentem v podobě osvětlení a mobiliáře – vše v industriálním duchu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místa.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 xml:space="preserve">1. NP – </w:t>
      </w:r>
      <w:r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Komunitní centrum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Prostor přízemí 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star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é sladovny vyniká masivní dřevěnou nosnou konstrukcí sloupů, bačkor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a trámových stropů. 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Prostor tohoto podlaží je dělen na původní starou část sladovny a na novou část, která vznikla ubouráním dnes zbouraného domu jako novostavba. Oba prostory jsou navzájem propojené. Do 1.NP je přístup přes hvozd, přes západní křídlo a nově i po venkovním schodišti z prostoru chodníku u Komenského ulice. Nově budou prostory užívané jako komunitní centrum. Celé 1.NP je děleno celoprosklenými stěnami a skleněnými </w:t>
      </w:r>
      <w:proofErr w:type="spellStart"/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polopříčkami</w:t>
      </w:r>
      <w:proofErr w:type="spellEnd"/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(systémovými). Vznikají tak prostory oddělené pro jednotlivé využití komunitního centra a dále je tu možnost prostory plně otevřít a spojit v jeden celek. </w:t>
      </w:r>
    </w:p>
    <w:p w:rsidR="00346836" w:rsidRPr="0001424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iCs/>
          <w:sz w:val="22"/>
          <w:szCs w:val="22"/>
          <w:lang w:eastAsia="en-US"/>
        </w:rPr>
        <w:t>Podlaha bude dřevěná, řemenová – výběr dle vzorků. Stěny omítnuty. Dělící skleněné stěny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budou systémové a budou umožňovat variabilitu prostředí. 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Komunitní centrum se skládá z velkého sálu (přednášky, zábava, promítání, koncerty, atp.) s výstupem na terasu. Na terase bude pohotovostní sezení. Dále se skládá ze zázemí sociálních služeb a víceúčelového menšího sálu. Součástí Komunitního centra Domažlice bude i čajová kuchyňka. Vybavení je víceúčelové, stoly, židle, skříňky. Osvětlení viz projekt osvětlení (kombinované). 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Samotné stavební řešení a technologie jsou uvedeny ve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zpracované projektové </w:t>
      </w:r>
      <w:r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okumentaci.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Již</w:t>
      </w:r>
      <w:r w:rsidRPr="00101CEE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 xml:space="preserve">ní křídlo: 2.NP – </w:t>
      </w:r>
      <w:r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Komunitní centrum – víceúčelový sál s jevištěm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Prostor prvního i druhého patra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star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é sladovny vyniká masivní dřevěnou nosnou konstrukcí sloupů,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bačkor a trámových stropů. Hodnotným dokladem původní funkce pivovaru je i dochovaná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technologie (šnekové dopravníky, žlaby, váha, násypky, apod.).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V tomto podlaží je navržen</w:t>
      </w:r>
      <w:r>
        <w:rPr>
          <w:rFonts w:ascii="Arial" w:eastAsiaTheme="minorHAnsi" w:hAnsi="Arial" w:cs="Arial"/>
          <w:sz w:val="22"/>
          <w:szCs w:val="22"/>
          <w:lang w:eastAsia="en-US"/>
        </w:rPr>
        <w:t>o komunitní centrum – přednáškový víceúčelový sál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 jevištěm a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zázemím. Vstupuje se z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prostoru hvozdu a </w:t>
      </w:r>
      <w:r>
        <w:rPr>
          <w:rFonts w:ascii="Arial" w:eastAsiaTheme="minorHAnsi" w:hAnsi="Arial" w:cs="Arial"/>
          <w:sz w:val="22"/>
          <w:szCs w:val="22"/>
          <w:lang w:eastAsia="en-US"/>
        </w:rPr>
        <w:t>ze západního křídla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Sál je vybaven sedacím nábytkem z ohýbaného přírodního dřeva –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spojovatelné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s područkami. V přední části jižního křídla jsou šatny herců a účinkujících.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Osvětlení je navrženo samostatně, využívá rastru trámového stropu, kde umisťuje do jednotlivých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trámových polí liniová svítidla industriálního charakteru. Celý prostor je doplněn drobným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mobiliářem a centrálním sezením v jednotném duchu.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Jsou navržena typová svítidla.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 celém objektu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je patrné i barevné a materiálové řešení jednotlivých podlaží. Základní stavební prvky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konstrukce, technické vybavení je uvedeno v projektu pro provedení stavby.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Projekt pro provedení stavby a projekt interiérů se vzájemně doplňují a při výstavbě je potřeba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postupovat v souladu s oběma projekty. Zároveň je nutno z důvodu jednotného charakteru objektu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dodržet kompletní řešení interiérových prvků z části hvozd (obklady, dlažby, zařizovací předměty,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baterie, tělesa ÚT, dveře, kování, koncové prvky elektro, apod.).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Vypracoval: Ing. arch. I. Březina, Ing. arch. M. Březina</w:t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  <w:t>říjen 2018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Pozn.: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Části interiérů neuvedené v této dokumentaci jsou řešeny v rámci prováděcí dokumentace.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Prohlášení GP k PD: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Odkazy v zadávací dokumentaci na jednotlivá obchodní jména a zvláštní označení výrobků a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obchodních názvů materiálů popisují a specifikují podmínky požadovaného plnění s tím, že zadavatel připouští i jiná kvalitativně a technicky obdobná řešení za podmínky, že nesmí dojít ke zhoršení parametrů daných v projektovém řešení. Pokud se uchazeč odchýlí použitím jiných výrobků nebo materiálů od projektu, musí být v cenové nabídce výslovně uvedeno a doloženo, že jsou dodrženy stanovené parametry v zadávací dokumentaci (prohlášením o shodě).</w:t>
      </w:r>
    </w:p>
    <w:p w:rsidR="006766D7" w:rsidRDefault="006766D7"/>
    <w:sectPr w:rsidR="00676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36"/>
    <w:rsid w:val="00346836"/>
    <w:rsid w:val="006766D7"/>
    <w:rsid w:val="00A01617"/>
    <w:rsid w:val="00E8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2E48-0EE1-46FA-AD19-33A09142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6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1773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2019-02-17T13:33:00Z</dcterms:created>
  <dcterms:modified xsi:type="dcterms:W3CDTF">2019-02-27T18:34:00Z</dcterms:modified>
</cp:coreProperties>
</file>