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70.jpeg" ContentType="image/jpeg"/>
  <Override PartName="/word/media/image69.jpeg" ContentType="image/jpeg"/>
  <Override PartName="/word/media/image68.jpeg" ContentType="image/jpeg"/>
  <Override PartName="/word/media/image67.jpeg" ContentType="image/jpeg"/>
  <Override PartName="/word/media/image63.jpeg" ContentType="image/jpeg"/>
  <Override PartName="/word/media/image62.jpeg" ContentType="image/jpeg"/>
  <Override PartName="/word/media/image61.jpeg" ContentType="image/jpeg"/>
  <Override PartName="/word/media/image60.jpeg" ContentType="image/jpeg"/>
  <Override PartName="/word/media/image66.jpeg" ContentType="image/jpeg"/>
  <Override PartName="/word/media/image59.jpeg" ContentType="image/jpeg"/>
  <Override PartName="/word/media/image65.jpeg" ContentType="image/jpeg"/>
  <Override PartName="/word/media/image58.jpeg" ContentType="image/jpeg"/>
  <Override PartName="/word/media/image64.jpeg" ContentType="image/jpeg"/>
  <Override PartName="/word/media/image57.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777740" cy="3581400"/>
            <wp:effectExtent l="0" t="0" r="0" b="0"/>
            <wp:docPr id="0"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73.JPG"/>
                    <pic:cNvPicPr>
                      <a:picLocks noChangeAspect="1" noChangeArrowheads="1"/>
                    </pic:cNvPicPr>
                  </pic:nvPicPr>
                  <pic:blipFill>
                    <a:blip r:embed="rId2"/>
                    <a:stretch>
                      <a:fillRect/>
                    </a:stretch>
                  </pic:blipFill>
                  <pic:spPr bwMode="auto">
                    <a:xfrm>
                      <a:off x="0" y="0"/>
                      <a:ext cx="4777740" cy="358140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35806_1033413346"/>
      <w:bookmarkEnd w:id="0"/>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24"/>
          <w:szCs w:val="24"/>
        </w:rPr>
      </w:pPr>
      <w:r>
        <w:rPr>
          <w:rFonts w:cs="Arial" w:ascii="Arial" w:hAnsi="Arial"/>
          <w:b/>
          <w:sz w:val="24"/>
          <w:szCs w:val="24"/>
        </w:rPr>
      </w:r>
    </w:p>
    <w:p>
      <w:pPr>
        <w:pStyle w:val="Normal"/>
        <w:spacing w:lineRule="auto" w:line="240"/>
        <w:jc w:val="center"/>
        <w:rPr/>
      </w:pPr>
      <w:r>
        <w:rPr/>
        <w:drawing>
          <wp:inline distT="0" distB="0" distL="0" distR="0">
            <wp:extent cx="4901565" cy="3674110"/>
            <wp:effectExtent l="0" t="0" r="0" b="0"/>
            <wp:docPr id="1"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73.JPG"/>
                    <pic:cNvPicPr>
                      <a:picLocks noChangeAspect="1" noChangeArrowheads="1"/>
                    </pic:cNvPicPr>
                  </pic:nvPicPr>
                  <pic:blipFill>
                    <a:blip r:embed="rId3"/>
                    <a:stretch>
                      <a:fillRect/>
                    </a:stretch>
                  </pic:blipFill>
                  <pic:spPr bwMode="auto">
                    <a:xfrm>
                      <a:off x="0" y="0"/>
                      <a:ext cx="4901565" cy="367411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before="0" w:after="0"/>
        <w:jc w:val="center"/>
        <w:rPr/>
      </w:pPr>
      <w:r>
        <w:rPr/>
        <w:drawing>
          <wp:inline distT="0" distB="0" distL="0" distR="0">
            <wp:extent cx="4768850" cy="3575050"/>
            <wp:effectExtent l="0" t="0" r="0" b="0"/>
            <wp:docPr id="2"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73.JPG"/>
                    <pic:cNvPicPr>
                      <a:picLocks noChangeAspect="1" noChangeArrowheads="1"/>
                    </pic:cNvPicPr>
                  </pic:nvPicPr>
                  <pic:blipFill>
                    <a:blip r:embed="rId4"/>
                    <a:stretch>
                      <a:fillRect/>
                    </a:stretch>
                  </pic:blipFill>
                  <pic:spPr bwMode="auto">
                    <a:xfrm>
                      <a:off x="0" y="0"/>
                      <a:ext cx="4768850" cy="35750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989195" cy="3740150"/>
            <wp:effectExtent l="0" t="0" r="0" b="0"/>
            <wp:docPr id="3"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73.JPG"/>
                    <pic:cNvPicPr>
                      <a:picLocks noChangeAspect="1" noChangeArrowheads="1"/>
                    </pic:cNvPicPr>
                  </pic:nvPicPr>
                  <pic:blipFill>
                    <a:blip r:embed="rId5"/>
                    <a:stretch>
                      <a:fillRect/>
                    </a:stretch>
                  </pic:blipFill>
                  <pic:spPr bwMode="auto">
                    <a:xfrm>
                      <a:off x="0" y="0"/>
                      <a:ext cx="4989195" cy="37401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ind w:left="708" w:right="0" w:hanging="708"/>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692015" cy="3517265"/>
            <wp:effectExtent l="0" t="0" r="0" b="0"/>
            <wp:docPr id="4"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73.JPG"/>
                    <pic:cNvPicPr>
                      <a:picLocks noChangeAspect="1" noChangeArrowheads="1"/>
                    </pic:cNvPicPr>
                  </pic:nvPicPr>
                  <pic:blipFill>
                    <a:blip r:embed="rId6"/>
                    <a:stretch>
                      <a:fillRect/>
                    </a:stretch>
                  </pic:blipFill>
                  <pic:spPr bwMode="auto">
                    <a:xfrm>
                      <a:off x="0" y="0"/>
                      <a:ext cx="4692015" cy="351726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692015" cy="3517265"/>
            <wp:effectExtent l="0" t="0" r="0" b="0"/>
            <wp:docPr id="5"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73.JPG"/>
                    <pic:cNvPicPr>
                      <a:picLocks noChangeAspect="1" noChangeArrowheads="1"/>
                    </pic:cNvPicPr>
                  </pic:nvPicPr>
                  <pic:blipFill>
                    <a:blip r:embed="rId7"/>
                    <a:stretch>
                      <a:fillRect/>
                    </a:stretch>
                  </pic:blipFill>
                  <pic:spPr bwMode="auto">
                    <a:xfrm>
                      <a:off x="0" y="0"/>
                      <a:ext cx="4692015" cy="351726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pPr>
      <w:r>
        <w:rPr/>
        <w:drawing>
          <wp:inline distT="0" distB="0" distL="0" distR="0">
            <wp:extent cx="4497705" cy="3371850"/>
            <wp:effectExtent l="0" t="0" r="0" b="0"/>
            <wp:docPr id="6"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73.JPG"/>
                    <pic:cNvPicPr>
                      <a:picLocks noChangeAspect="1" noChangeArrowheads="1"/>
                    </pic:cNvPicPr>
                  </pic:nvPicPr>
                  <pic:blipFill>
                    <a:blip r:embed="rId8"/>
                    <a:stretch>
                      <a:fillRect/>
                    </a:stretch>
                  </pic:blipFill>
                  <pic:spPr bwMode="auto">
                    <a:xfrm>
                      <a:off x="0" y="0"/>
                      <a:ext cx="4497705" cy="33718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5153660" cy="3863340"/>
            <wp:effectExtent l="0" t="0" r="0" b="0"/>
            <wp:docPr id="7"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73.JPG"/>
                    <pic:cNvPicPr>
                      <a:picLocks noChangeAspect="1" noChangeArrowheads="1"/>
                    </pic:cNvPicPr>
                  </pic:nvPicPr>
                  <pic:blipFill>
                    <a:blip r:embed="rId9"/>
                    <a:stretch>
                      <a:fillRect/>
                    </a:stretch>
                  </pic:blipFill>
                  <pic:spPr bwMode="auto">
                    <a:xfrm>
                      <a:off x="0" y="0"/>
                      <a:ext cx="5153660" cy="386334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253, čp. 254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253 a čp. 254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253 a čp. 254 v Domažlicích, konkrétně obvodového pláště, zateplení fasád a související práce dvou panelových domů č. 253 a čp. 254 v ulici 17. listopadu v části Domažlic na Hořejším Předměstí. Pozemky,  na kterém se objekty nachází je na jižním svahu. Objekty mají parc. č. 3306 a parc. č. 3307.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suterénu a z mezipodesty mezi 1.PP a 1.NP.</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3 = 24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+ 13,790 m od ÚT a druhý dům + 14.500 m od ÚT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234,0 + 215,0 </w:t>
        <w:tab/>
        <w:tab/>
        <w:t xml:space="preserve">  449,00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6.963,9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253 a čp. 254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 xml:space="preserve">Jedná se o revitalizaci panelového řadového dvoudomu, který se skládá ze dvou dilatačních celků. Objekt čp. 253  a 254 v ulici 17. listopadu v Domažlicích, Hořejším Předměstí má 1.PP s provozními místnostmi a 4 NP. Celkem obsahuje 24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 </w:t>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tvrzený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bCs/>
        </w:rPr>
      </w:pPr>
      <w:r>
        <w:rPr>
          <w:rFonts w:cs="Arial" w:ascii="Arial" w:hAnsi="Arial"/>
        </w:rPr>
        <w:t xml:space="preserve">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 </w:t>
      </w: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253 a čp. 254 o celkovém počtu b.j.</w:t>
        <w:tab/>
        <w:t>24.</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 xml:space="preserve"> 449,00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6.693,9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parc.č.3306 a parc.č.3307 v Domažlicích, na Hořejším předměstí v ulici 17. listopadu. Jde o revitalizaci řadového objektu, který se skládá ze dvou sekcí. Pozemek je v mírném svahu směrem jižním. Jde o stávající zástavbu z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rPr>
      </w:pPr>
      <w:r>
        <w:rPr>
          <w:rFonts w:cs="Arial" w:ascii="Arial" w:hAnsi="Arial"/>
          <w:b/>
        </w:rPr>
        <w:t xml:space="preserve">c) stávající ochranná a bezpečnostní pásma: </w:t>
      </w: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24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253 a 254 v ulici 17. listopadu v Domažlicích, Hořejším Předměstí má 1.PP s provozními místnostmi a 4 NP - bytů. Celkem obsahuje 24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 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PlainText"/>
        <w:rPr>
          <w:rFonts w:cs="Arial" w:ascii="Arial" w:hAnsi="Arial"/>
          <w:szCs w:val="22"/>
        </w:rPr>
      </w:pPr>
      <w:r>
        <w:rPr>
          <w:rFonts w:cs="Arial" w:ascii="Arial" w:hAnsi="Arial"/>
          <w:szCs w:val="22"/>
        </w:rPr>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
          <w:bCs/>
        </w:rPr>
        <w:t xml:space="preserve">B.4 Dopravní řešení: </w:t>
      </w: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253 a 254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ind w:left="0" w:right="0" w:hanging="360"/>
        <w:rPr>
          <w:rFonts w:cs="Arial"/>
          <w:color w:val="00000A"/>
          <w:szCs w:val="22"/>
        </w:rPr>
      </w:pPr>
      <w:r>
        <w:rPr>
          <w:rFonts w:cs="Arial"/>
          <w:color w:val="00000A"/>
          <w:szCs w:val="22"/>
        </w:rPr>
        <w:t>- trvalý zábor</w:t>
        <w:tab/>
        <w:tab/>
        <w:tab/>
        <w:t>- rozsah pozemku ve vlastnictví investora</w:t>
      </w:r>
    </w:p>
    <w:p>
      <w:pPr>
        <w:pStyle w:val="Tlotextu"/>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hygienickými předpisy, je nutno zabezpečit pasivní ochranu (kryty, akustické zástěny apod.).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 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Default"/>
        <w:rPr>
          <w:rFonts w:cs="Arial" w:ascii="Arial" w:hAnsi="Arial"/>
          <w:b/>
          <w:color w:val="00000A"/>
          <w:sz w:val="22"/>
          <w:szCs w:val="22"/>
          <w:lang w:val="cs-CZ"/>
        </w:rPr>
      </w:pPr>
      <w:bookmarkStart w:id="25" w:name="OLE_LINK61"/>
      <w:bookmarkStart w:id="26" w:name="OLE_LINK51"/>
      <w:bookmarkStart w:id="27" w:name="OLE_LINK61"/>
      <w:bookmarkStart w:id="28" w:name="OLE_LINK51"/>
      <w:bookmarkEnd w:id="27"/>
      <w:bookmarkEnd w:id="28"/>
      <w:r>
        <w:rPr>
          <w:rFonts w:cs="Arial" w:ascii="Arial" w:hAnsi="Arial"/>
          <w:b/>
          <w:color w:val="00000A"/>
          <w:sz w:val="22"/>
          <w:szCs w:val="22"/>
          <w:lang w:val="cs-CZ"/>
        </w:rPr>
      </w:r>
    </w:p>
    <w:p>
      <w:pPr>
        <w:pStyle w:val="Default"/>
        <w:rPr>
          <w:rFonts w:cs="Arial" w:ascii="Arial" w:hAnsi="Arial"/>
          <w:color w:val="00000A"/>
          <w:sz w:val="22"/>
          <w:szCs w:val="22"/>
          <w:lang w:val="cs-CZ"/>
        </w:rPr>
      </w:pPr>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 začátek stavebních prací   – 05/2015</w:t>
      </w:r>
    </w:p>
    <w:p>
      <w:pPr>
        <w:pStyle w:val="Normal"/>
        <w:spacing w:before="0" w:after="0"/>
        <w:rPr>
          <w:rFonts w:cs="Arial" w:ascii="Arial" w:hAnsi="Arial"/>
        </w:rPr>
      </w:pPr>
      <w:r>
        <w:rPr>
          <w:rFonts w:cs="Arial" w:ascii="Arial" w:hAnsi="Arial"/>
        </w:rPr>
        <w:t>- 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spacing w:before="0" w:after="0"/>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253 a čp.254 v Domažlicích, konkrétně obvodového pláště, zateplení fasád a související práce dvou panelových domů v ulici 17. listopadu v části Domažlic na Hořejším Předměstí. Pozemek parc. č.3306 a 3307, na kterém se objekty nachází je na jižním svahu. Dům byl postaven v roce 1984 konstrukčním systémem PD 69 – E2. Jde o řadový panelový dům sestavený ze dvou dilatačních celků. Obvodové stěny jsou tvořeny celostěnovými sendvičovými a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3 x 4 x 2 = 24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+ 13,790 m od ÚT a + 14.500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 xml:space="preserve">   449,00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6.963,90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Objekty čp. 253 a 254 v ulici 17. listopadu v Domažlicích, Hořejším Předměstí má 1.PP s provozními místnostmi a 4 NP – celkem 24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 </w:t>
      </w:r>
      <w:r>
        <w:rPr>
          <w:rFonts w:cs="Arial" w:ascii="Arial" w:hAnsi="Arial"/>
        </w:rPr>
        <w:t xml:space="preserve"> 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bCs/>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 xml:space="preserve">Navrhuje se prostup kruhového průřezu 100mm (100/400mm). Je určen pro přívod větraného vzduchu do obytných místností přes obvodovou zeď. Sestava s akustickým filtrem je doplněna o zpětnou klapku. 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449,00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6.963,9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ze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tvrzený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Ing.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 rozpočty</w:t>
      </w:r>
    </w:p>
    <w:p>
      <w:pPr>
        <w:pStyle w:val="Normal"/>
        <w:spacing w:before="0" w:after="0"/>
        <w:rPr>
          <w:rFonts w:ascii="Arial" w:hAnsi="Arial"/>
        </w:rPr>
      </w:pPr>
      <w:r>
        <w:rPr>
          <w:rFonts w:ascii="Arial" w:hAnsi="Arial"/>
        </w:rPr>
        <w:tab/>
        <w:tab/>
        <w:tab/>
        <w:tab/>
        <w:tab/>
        <w:t>- Ing. M. Kohout - rozpočty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bookmarkStart w:id="29" w:name="_GoBack"/>
      <w:bookmarkStart w:id="30" w:name="_GoBack"/>
      <w:bookmarkEnd w:id="30"/>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253 a čp. 254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501005" cy="4122420"/>
            <wp:effectExtent l="0" t="0" r="0" b="0"/>
            <wp:docPr id="8" name="Picture" descr="C:\Users\Ivan\Desktop\paneláky vstupy\DSCN5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73.JPG"/>
                    <pic:cNvPicPr>
                      <a:picLocks noChangeAspect="1" noChangeArrowheads="1"/>
                    </pic:cNvPicPr>
                  </pic:nvPicPr>
                  <pic:blipFill>
                    <a:blip r:embed="rId11"/>
                    <a:stretch>
                      <a:fillRect/>
                    </a:stretch>
                  </pic:blipFill>
                  <pic:spPr bwMode="auto">
                    <a:xfrm>
                      <a:off x="0" y="0"/>
                      <a:ext cx="5501005" cy="412242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lineRule="auto" w:line="240" w:before="0" w:after="0"/>
        <w:jc w:val="both"/>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widowControl w:val="false"/>
        <w:spacing w:before="0" w:after="0"/>
        <w:jc w:val="both"/>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bc20ab"/>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bc20ab"/>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bc20ab"/>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bc20ab"/>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bc20ab"/>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bc20ab"/>
    <w:basedOn w:val="DefaultParagraphFont"/>
    <w:rPr>
      <w:rFonts w:ascii="Tahoma" w:hAnsi="Tahoma" w:cs="Tahoma"/>
      <w:sz w:val="16"/>
      <w:szCs w:val="16"/>
    </w:rPr>
  </w:style>
  <w:style w:type="character" w:styleId="Internetovodkaz">
    <w:name w:val="Internetový odkaz"/>
    <w:uiPriority w:val="99"/>
    <w:unhideWhenUsed/>
    <w:rsid w:val="00bc20ab"/>
    <w:basedOn w:val="DefaultParagraphFont"/>
    <w:rPr>
      <w:color w:val="0563C1"/>
      <w:u w:val="single"/>
      <w:lang w:val="zxx" w:eastAsia="zxx" w:bidi="zxx"/>
    </w:rPr>
  </w:style>
  <w:style w:type="character" w:styleId="Zkladntext1" w:customStyle="1">
    <w:name w:val="Základní text 1"/>
    <w:uiPriority w:val="99"/>
    <w:rsid w:val="00bc20ab"/>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bc20ab"/>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bc20ab"/>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bc20ab"/>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bc20ab"/>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bc20ab"/>
    <w:basedOn w:val="Normal"/>
    <w:pPr>
      <w:spacing w:lineRule="auto" w:line="240" w:before="0" w:after="0"/>
    </w:pPr>
    <w:rPr>
      <w:rFonts w:ascii="Tahoma" w:hAnsi="Tahoma" w:cs="Tahoma"/>
      <w:sz w:val="16"/>
      <w:szCs w:val="16"/>
    </w:rPr>
  </w:style>
  <w:style w:type="paragraph" w:styleId="NoSpacing">
    <w:name w:val="No Spacing"/>
    <w:uiPriority w:val="1"/>
    <w:qFormat/>
    <w:rsid w:val="00bc20ab"/>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bc20ab"/>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bc20ab"/>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bc20ab"/>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bc20ab"/>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bc20ab"/>
    <w:basedOn w:val="Odsazen3"/>
    <w:pPr/>
    <w:rPr/>
  </w:style>
  <w:style w:type="paragraph" w:styleId="Dka" w:customStyle="1">
    <w:name w:val="Řádka"/>
    <w:uiPriority w:val="99"/>
    <w:link w:val="dkaChar"/>
    <w:rsid w:val="00bc20ab"/>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bc20ab"/>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bc20ab"/>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57.jpeg"/><Relationship Id="rId3" Type="http://schemas.openxmlformats.org/officeDocument/2006/relationships/image" Target="media/image58.jpeg"/><Relationship Id="rId4" Type="http://schemas.openxmlformats.org/officeDocument/2006/relationships/image" Target="media/image59.jpeg"/><Relationship Id="rId5" Type="http://schemas.openxmlformats.org/officeDocument/2006/relationships/image" Target="media/image60.jpeg"/><Relationship Id="rId6" Type="http://schemas.openxmlformats.org/officeDocument/2006/relationships/image" Target="media/image61.jpeg"/><Relationship Id="rId7" Type="http://schemas.openxmlformats.org/officeDocument/2006/relationships/image" Target="media/image62.jpeg"/><Relationship Id="rId8" Type="http://schemas.openxmlformats.org/officeDocument/2006/relationships/image" Target="media/image63.jpeg"/><Relationship Id="rId9" Type="http://schemas.openxmlformats.org/officeDocument/2006/relationships/image" Target="media/image64.jpeg"/><Relationship Id="rId10" Type="http://schemas.openxmlformats.org/officeDocument/2006/relationships/hyperlink" Target="mailto:sprava@dns-domazlice.cz" TargetMode="External"/><Relationship Id="rId11" Type="http://schemas.openxmlformats.org/officeDocument/2006/relationships/image" Target="media/image65.jpeg"/><Relationship Id="rId12" Type="http://schemas.openxmlformats.org/officeDocument/2006/relationships/image" Target="media/image66.jpeg"/><Relationship Id="rId13" Type="http://schemas.openxmlformats.org/officeDocument/2006/relationships/image" Target="media/image67.jpeg"/><Relationship Id="rId14" Type="http://schemas.openxmlformats.org/officeDocument/2006/relationships/image" Target="media/image68.jpeg"/><Relationship Id="rId15" Type="http://schemas.openxmlformats.org/officeDocument/2006/relationships/image" Target="media/image69.jpeg"/><Relationship Id="rId16" Type="http://schemas.openxmlformats.org/officeDocument/2006/relationships/image" Target="media/image70.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2014-10-29T10:59:00Z</dcterms:created>
  <dc:creator>Ivan</dc:creator>
  <dc:language>cs-CZ</dc:language>
  <cp:lastModifiedBy>Ivan</cp:lastModifiedBy>
  <cp:lastPrinted>2014-10-30T17:27:00Z</cp:lastPrinted>
  <dcterms:modified xsi:type="dcterms:W3CDTF">2014-10-30T17:28:00Z</dcterms:modified>
  <cp:revision>4</cp:revision>
</cp:coreProperties>
</file>