
<file path=[Content_Types].xml><?xml version="1.0" encoding="utf-8"?>
<Types xmlns="http://schemas.openxmlformats.org/package/2006/content-types">
  <Override PartName="/_rels/.rels" ContentType="application/vnd.openxmlformats-package.relationships+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140.jpeg" ContentType="image/jpeg"/>
  <Override PartName="/word/media/image139.jpeg" ContentType="image/jpeg"/>
  <Override PartName="/word/media/image138.jpeg" ContentType="image/jpeg"/>
  <Override PartName="/word/media/image137.jpeg" ContentType="image/jpeg"/>
  <Override PartName="/word/media/image133.jpeg" ContentType="image/jpeg"/>
  <Override PartName="/word/media/image132.jpeg" ContentType="image/jpeg"/>
  <Override PartName="/word/media/image131.jpeg" ContentType="image/jpeg"/>
  <Override PartName="/word/media/image130.jpeg" ContentType="image/jpeg"/>
  <Override PartName="/word/media/image136.jpeg" ContentType="image/jpeg"/>
  <Override PartName="/word/media/image129.jpeg" ContentType="image/jpeg"/>
  <Override PartName="/word/media/image135.jpeg" ContentType="image/jpeg"/>
  <Override PartName="/word/media/image128.jpeg" ContentType="image/jpeg"/>
  <Override PartName="/word/media/image134.jpeg" ContentType="image/jpeg"/>
  <Override PartName="/word/media/image127.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pPr>
      <w:r>
        <w:rPr/>
        <w:drawing>
          <wp:inline distT="0" distB="0" distL="0" distR="0">
            <wp:extent cx="5412740" cy="4057650"/>
            <wp:effectExtent l="0" t="0" r="0" b="0"/>
            <wp:docPr id="0"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Martin\Desktop\fotky pancusy\Pančusy\IMG_1780.JPG"/>
                    <pic:cNvPicPr>
                      <a:picLocks noChangeAspect="1" noChangeArrowheads="1"/>
                    </pic:cNvPicPr>
                  </pic:nvPicPr>
                  <pic:blipFill>
                    <a:blip r:embed="rId2"/>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22660_1033413346"/>
      <w:bookmarkEnd w:id="0"/>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2"/>
          <w:szCs w:val="32"/>
        </w:rPr>
      </w:pPr>
      <w:r>
        <w:rPr>
          <w:rFonts w:cs="Arial" w:ascii="Arial" w:hAnsi="Arial"/>
          <w:b/>
          <w:sz w:val="32"/>
          <w:szCs w:val="32"/>
        </w:rPr>
        <w:t>A + B – Průvodní a souhrnná technická zpráva</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412740" cy="4057650"/>
            <wp:effectExtent l="0" t="0" r="0" b="0"/>
            <wp:docPr id="1"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Martin\Desktop\fotky pancusy\Pančusy\IMG_1780.JPG"/>
                    <pic:cNvPicPr>
                      <a:picLocks noChangeAspect="1" noChangeArrowheads="1"/>
                    </pic:cNvPicPr>
                  </pic:nvPicPr>
                  <pic:blipFill>
                    <a:blip r:embed="rId3"/>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412740" cy="4057650"/>
            <wp:effectExtent l="0" t="0" r="0" b="0"/>
            <wp:docPr id="2"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Martin\Desktop\fotky pancusy\Pančusy\IMG_1780.JPG"/>
                    <pic:cNvPicPr>
                      <a:picLocks noChangeAspect="1" noChangeArrowheads="1"/>
                    </pic:cNvPicPr>
                  </pic:nvPicPr>
                  <pic:blipFill>
                    <a:blip r:embed="rId4"/>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spacing w:before="0" w:after="0"/>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32"/>
          <w:szCs w:val="32"/>
          <w:lang w:eastAsia="cs-CZ"/>
        </w:rPr>
      </w:pPr>
      <w:r>
        <w:rPr>
          <w:rFonts w:cs="Arial" w:ascii="Arial" w:hAnsi="Arial"/>
          <w:b/>
          <w:sz w:val="32"/>
          <w:szCs w:val="32"/>
          <w:lang w:eastAsia="cs-CZ"/>
        </w:rPr>
        <w:t>Stavební část – Technická zpráva</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412740" cy="4057650"/>
            <wp:effectExtent l="0" t="0" r="0" b="0"/>
            <wp:docPr id="3"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Martin\Desktop\fotky pancusy\Pančusy\IMG_1780.JPG"/>
                    <pic:cNvPicPr>
                      <a:picLocks noChangeAspect="1" noChangeArrowheads="1"/>
                    </pic:cNvPicPr>
                  </pic:nvPicPr>
                  <pic:blipFill>
                    <a:blip r:embed="rId5"/>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32"/>
          <w:szCs w:val="32"/>
        </w:rPr>
      </w:pPr>
      <w:r>
        <w:rPr>
          <w:rFonts w:cs="Arial" w:ascii="Arial" w:hAnsi="Arial"/>
          <w:b/>
          <w:sz w:val="32"/>
          <w:szCs w:val="32"/>
        </w:rPr>
        <w:t>Stavební část - TABULKY</w:t>
      </w:r>
    </w:p>
    <w:p>
      <w:pPr>
        <w:pStyle w:val="Normal"/>
        <w:spacing w:before="0" w:after="0"/>
        <w:jc w:val="center"/>
        <w:rPr>
          <w:rFonts w:cs="Arial" w:ascii="Arial" w:hAnsi="Arial"/>
          <w:b/>
          <w:sz w:val="32"/>
          <w:szCs w:val="32"/>
        </w:rPr>
      </w:pPr>
      <w:r>
        <w:rPr>
          <w:rFonts w:cs="Arial" w:ascii="Arial" w:hAnsi="Arial"/>
          <w:b/>
          <w:sz w:val="32"/>
          <w:szCs w:val="32"/>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412740" cy="4057650"/>
            <wp:effectExtent l="0" t="0" r="0" b="0"/>
            <wp:docPr id="4"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Martin\Desktop\fotky pancusy\Pančusy\IMG_1780.JPG"/>
                    <pic:cNvPicPr>
                      <a:picLocks noChangeAspect="1" noChangeArrowheads="1"/>
                    </pic:cNvPicPr>
                  </pic:nvPicPr>
                  <pic:blipFill>
                    <a:blip r:embed="rId6"/>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32"/>
          <w:szCs w:val="32"/>
        </w:rPr>
      </w:pPr>
      <w:r>
        <w:rPr>
          <w:rFonts w:cs="Arial" w:ascii="Arial" w:hAnsi="Arial"/>
          <w:b/>
          <w:sz w:val="32"/>
          <w:szCs w:val="32"/>
        </w:rPr>
        <w:t>Stavební část – VYBRANÉ DETAILY</w:t>
      </w:r>
    </w:p>
    <w:p>
      <w:pPr>
        <w:pStyle w:val="Normal"/>
        <w:spacing w:before="0" w:after="0"/>
        <w:jc w:val="center"/>
        <w:rPr>
          <w:rFonts w:cs="Arial" w:ascii="Arial" w:hAnsi="Arial"/>
          <w:b/>
          <w:sz w:val="32"/>
          <w:szCs w:val="32"/>
        </w:rPr>
      </w:pPr>
      <w:r>
        <w:rPr>
          <w:rFonts w:cs="Arial" w:ascii="Arial" w:hAnsi="Arial"/>
          <w:b/>
          <w:sz w:val="32"/>
          <w:szCs w:val="32"/>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412740" cy="4057650"/>
            <wp:effectExtent l="0" t="0" r="0" b="0"/>
            <wp:docPr id="5"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Martin\Desktop\fotky pancusy\Pančusy\IMG_1780.JPG"/>
                    <pic:cNvPicPr>
                      <a:picLocks noChangeAspect="1" noChangeArrowheads="1"/>
                    </pic:cNvPicPr>
                  </pic:nvPicPr>
                  <pic:blipFill>
                    <a:blip r:embed="rId7"/>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jc w:val="center"/>
        <w:rPr>
          <w:rFonts w:cs="Arial" w:ascii="Arial" w:hAnsi="Arial"/>
          <w:b/>
          <w:sz w:val="32"/>
          <w:szCs w:val="32"/>
        </w:rPr>
      </w:pPr>
      <w:r>
        <w:rPr>
          <w:rFonts w:cs="Arial" w:ascii="Arial" w:hAnsi="Arial"/>
          <w:b/>
          <w:sz w:val="32"/>
          <w:szCs w:val="32"/>
        </w:rPr>
        <w:t>D – Rozpočet nákladů</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pPr>
      <w:r>
        <w:rPr/>
        <w:drawing>
          <wp:inline distT="0" distB="0" distL="0" distR="0">
            <wp:extent cx="5412740" cy="4057650"/>
            <wp:effectExtent l="0" t="0" r="0" b="0"/>
            <wp:docPr id="6"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Martin\Desktop\fotky pancusy\Pančusy\IMG_1780.JPG"/>
                    <pic:cNvPicPr>
                      <a:picLocks noChangeAspect="1" noChangeArrowheads="1"/>
                    </pic:cNvPicPr>
                  </pic:nvPicPr>
                  <pic:blipFill>
                    <a:blip r:embed="rId8"/>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jc w:val="center"/>
        <w:rPr>
          <w:rFonts w:cs="Arial" w:ascii="Arial" w:hAnsi="Arial"/>
          <w:b/>
          <w:sz w:val="32"/>
          <w:szCs w:val="32"/>
        </w:rPr>
      </w:pPr>
      <w:r>
        <w:rPr>
          <w:rFonts w:cs="Arial" w:ascii="Arial" w:hAnsi="Arial"/>
          <w:b/>
          <w:sz w:val="32"/>
          <w:szCs w:val="32"/>
        </w:rPr>
        <w:t xml:space="preserve">D – Specifikace a výkaz výměr </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412740" cy="4057650"/>
            <wp:effectExtent l="0" t="0" r="0" b="0"/>
            <wp:docPr id="7"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Martin\Desktop\fotky pancusy\Pančusy\IMG_1780.JPG"/>
                    <pic:cNvPicPr>
                      <a:picLocks noChangeAspect="1" noChangeArrowheads="1"/>
                    </pic:cNvPicPr>
                  </pic:nvPicPr>
                  <pic:blipFill>
                    <a:blip r:embed="rId9"/>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spacing w:before="0" w:after="0"/>
        <w:jc w:val="center"/>
        <w:rPr>
          <w:rFonts w:cs="Arial" w:ascii="Arial" w:hAnsi="Arial"/>
          <w:b/>
          <w:sz w:val="24"/>
          <w:szCs w:val="24"/>
        </w:rPr>
      </w:pPr>
      <w:r>
        <w:rPr>
          <w:rFonts w:cs="Arial" w:ascii="Arial" w:hAnsi="Arial"/>
          <w:b/>
          <w:sz w:val="24"/>
          <w:szCs w:val="24"/>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sz w:val="28"/>
          <w:szCs w:val="28"/>
        </w:rPr>
      </w:pPr>
      <w:r>
        <w:rPr>
          <w:rFonts w:cs="Arial" w:ascii="Arial" w:hAnsi="Arial"/>
          <w:b/>
          <w:bCs/>
          <w:sz w:val="28"/>
          <w:szCs w:val="28"/>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17. listopadu čp. 245, 246,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17. listopadu čp. 245 a 246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KČAI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245 a 246 v Domažlicích, konkrétně obvodového pláště, zateplení fasád a související práce dvou panelových domů č. 245 a 246 v ulici 17. listopadu v části Domažlic na Hořejším Předměstí. Pozemky,  na kterém se objekty nachází je na jižním svahu. Objekty mají parc. č. 3302 a parc. č. 3303. Dům byl postaven v roce 1984 konstrukčním systémem PD 69 – 2E s úpravou na novou, v té době platnou tepelnou normu. Jedná se o dvě 4 podlažní sekce s jedním podzemním podlažím. Sekce jsou vzájemně u štítů posunuty a to vertikálně i horizontálně. Domy jsou svými štítovými stranami situovány sever – jih, vstupy do domů pak směrem západ – východ na podélných delších stranách.</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jednovrstvými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byty, celkem tedy 2 x 4 x 2 = 16 bytů.</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západ - východ. Na západní fasádě jsou u bytů balkony, na východní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Celková výška od upraveného terénu je + 13,300 m od U.T. a druhý dům + 14.300 m od U.T .</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 xml:space="preserve">2 x 206,08   </w:t>
        <w:tab/>
        <w:tab/>
        <w:t>412,160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6.453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 popř. položena nová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245 a čp. 246 na výše uvedených pozemcích v Domažlicích, Hořejším Předměstí, ul. 17. listopadu.</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Jedná se o revitalizaci panelového řadového dvoudomu, který se skládá ze dvou dilatačních celků. Objekt čp. 245  a 246 v ulici 17. listopadu v Domažlicích, Hořejším Předměstí má 1.PP s provozními místnostmi a 4 NP. Celkem obsahuje 16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 xml:space="preserve"> 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tvrzené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Budou vyměněny okna do 1.PP za nová – plastová včetně vnitřních i venkovních parapetů.</w:t>
      </w:r>
    </w:p>
    <w:p>
      <w:pPr>
        <w:pStyle w:val="Normal"/>
        <w:widowControl w:val="false"/>
        <w:spacing w:before="0" w:after="0"/>
        <w:jc w:val="both"/>
        <w:rPr>
          <w:rFonts w:cs="Arial" w:ascii="Arial" w:hAnsi="Arial"/>
        </w:rPr>
      </w:pPr>
      <w:r>
        <w:rPr>
          <w:rFonts w:cs="Arial" w:ascii="Arial" w:hAnsi="Arial"/>
        </w:rPr>
        <w:t>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difůzní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17. listopadu, Domažlice, Hořejší Předměstí čp. 245 a čp. 246 o celkovém počtu b.j.</w:t>
        <w:tab/>
        <w:t xml:space="preserve">       16</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412,16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6.453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parc.č.3302 a parc.č.3303 v Domažlicích, na Hořejším předměstí v ulici 17. listopadu. Jde o revitalizaci řadového objektu, který se skládá ze dvou sekcí. Pozemek je v mírném svahu směrem jižním. Jde o stávající zástavbu ze 80.tých let minulého století.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 xml:space="preserve">Během stavby bude životní prostředí v dané lokalitě přechodně zhoršeno. Vzhledem k faktu, že se o bytový dům budou práce probíhat v dohodnutém časovém režimu. Stavební firma, která bude stavební práce provádět bude dodržovat nařízení vlády č. 272/11 Sb. </w:t>
      </w:r>
      <w:r>
        <w:rPr>
          <w:rFonts w:cs="StempelGaramondLTPro-Bold" w:ascii="StempelGaramondLTPro-Bold" w:hAnsi="StempelGaramondLTPro-Bold"/>
          <w:bCs/>
        </w:rPr>
        <w:t>o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17. listopadu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16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výměně čelních stěn se skříněmi elektro a zvonky, výměnou sklepních oken včetně parapetů, apod. Podrobně je uvedeno ve výkresech.</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245 a 246 v ulici 17. listopadu v Domažlicích, Hořejším Předměstí má 1.PP s provozními místnostmi a 4 NP - bytů. Celkem obsahuje 16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 xml:space="preserve"> </w:t>
      </w: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w:t>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difůzní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 xml:space="preserve">Veškeré fasády budou zatepleny kontaktním systémem v tl. 160mm u ostění 40mm. Na opravenou fasádu bude naneseno lepidlo, dána min. vata s kotvícími prvky, </w:t>
      </w:r>
      <w:r>
        <w:rPr>
          <w:rFonts w:cs="Arial" w:ascii="Arial" w:hAnsi="Arial"/>
        </w:rPr>
        <w:t>provedena nová probarvená silikátová stěrka s výztužnou tkaninou ve vybrané barevnosti (barevnost bude vybrána ze vzorků a předpokládá se světle šedý odstín v kombinaci s barevnými akcenty mezi parapety</w:t>
      </w:r>
      <w:r>
        <w:rPr>
          <w:rFonts w:cs="Arial" w:ascii="Arial" w:hAnsi="Arial"/>
          <w:bCs/>
        </w:rPr>
        <w:t>.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spacing w:before="0" w:after="0"/>
        <w:rPr>
          <w:rFonts w:ascii="Arial" w:hAnsi="Arial"/>
        </w:rPr>
      </w:pPr>
      <w:r>
        <w:rPr>
          <w:rFonts w:ascii="Arial" w:hAnsi="Arial"/>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b/>
        </w:rPr>
      </w:pPr>
      <w:r>
        <w:rPr>
          <w:rFonts w:cs="Arial" w:ascii="Arial" w:hAnsi="Arial"/>
        </w:rPr>
        <w:t xml:space="preserve"> </w:t>
      </w:r>
      <w:r>
        <w:rPr>
          <w:rFonts w:cs="Arial" w:ascii="Arial" w:hAnsi="Arial"/>
          <w:b/>
        </w:rPr>
        <w:t>b) Výčet technologických a technických zařízení</w:t>
      </w:r>
    </w:p>
    <w:p>
      <w:pPr>
        <w:pStyle w:val="Normal"/>
        <w:widowControl w:val="false"/>
        <w:spacing w:before="0" w:after="0"/>
        <w:rPr>
          <w:rFonts w:cs="Arial" w:ascii="Arial" w:hAnsi="Arial"/>
        </w:rPr>
      </w:pP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 xml:space="preserve">Během stavby bude životní prostředí v dané lokalitě přechodně zhoršeno. Vzhledem k faktu, že se o bytový dům budou práce probíhat v dohodnutém časovém režimu. Stavební firma, která bude stavební práce provádět bude dodržovat nařízení vlády č. 272/11 Sb. </w:t>
      </w:r>
      <w:r>
        <w:rPr>
          <w:rFonts w:cs="StempelGaramondLTPro-Bold" w:ascii="StempelGaramondLTPro-Bold" w:hAnsi="StempelGaramondLTPro-Bold"/>
          <w:bCs/>
        </w:rPr>
        <w:t>o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17. listopadu čp. 245 a 246 v Domažlicích na Hořejším Předměstí a připojením na uliční hydrant v ulici. </w:t>
      </w:r>
    </w:p>
    <w:p>
      <w:pPr>
        <w:pStyle w:val="Default"/>
        <w:rPr>
          <w:rFonts w:cs="Arial" w:ascii="Arial" w:hAnsi="Arial"/>
          <w:color w:val="00000A"/>
          <w:sz w:val="20"/>
          <w:szCs w:val="20"/>
          <w:lang w:val="cs-CZ"/>
        </w:rPr>
      </w:pPr>
      <w:r>
        <w:rPr>
          <w:rFonts w:cs="Arial" w:ascii="Arial" w:hAnsi="Arial"/>
          <w:color w:val="00000A"/>
          <w:sz w:val="20"/>
          <w:szCs w:val="20"/>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color w:val="00000A"/>
          <w:sz w:val="20"/>
          <w:szCs w:val="20"/>
          <w:lang w:val="cs-CZ"/>
        </w:rPr>
      </w:pPr>
      <w:r>
        <w:rPr>
          <w:rFonts w:cs="Arial" w:ascii="Arial" w:hAnsi="Arial"/>
          <w:color w:val="00000A"/>
          <w:sz w:val="20"/>
          <w:szCs w:val="20"/>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17. listopadu, Domažlice, Hořejší Předměstí.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spacing w:before="0" w:after="0"/>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spacing w:before="0" w:after="0"/>
        <w:ind w:left="0" w:right="0" w:hanging="360"/>
        <w:rPr>
          <w:rFonts w:cs="Arial"/>
          <w:color w:val="00000A"/>
          <w:szCs w:val="22"/>
        </w:rPr>
      </w:pPr>
      <w:r>
        <w:rPr>
          <w:rFonts w:cs="Arial"/>
          <w:color w:val="00000A"/>
          <w:szCs w:val="22"/>
        </w:rPr>
        <w:t>- trvalý zábor</w:t>
        <w:tab/>
        <w:tab/>
        <w:tab/>
        <w:t>- rozsah pozemku ve vlastnictví investora</w:t>
      </w:r>
    </w:p>
    <w:p>
      <w:pPr>
        <w:pStyle w:val="Tlotextu"/>
        <w:spacing w:before="0" w:after="0"/>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Tlotextu"/>
        <w:spacing w:before="0" w:after="0"/>
        <w:rPr>
          <w:rFonts w:cs="Arial"/>
          <w:sz w:val="22"/>
          <w:szCs w:val="22"/>
        </w:rPr>
      </w:pPr>
      <w:r>
        <w:rPr>
          <w:rFonts w:cs="Arial"/>
          <w:sz w:val="22"/>
          <w:szCs w:val="22"/>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1" w:name="_Toc179523860"/>
      <w:bookmarkEnd w:id="1"/>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2" w:name="_Toc1795238601"/>
      <w:bookmarkEnd w:id="2"/>
      <w:r>
        <w:rPr>
          <w:rFonts w:cs="Arial" w:ascii="Arial" w:hAnsi="Arial"/>
          <w:b/>
          <w:bCs/>
          <w:sz w:val="22"/>
          <w:szCs w:val="22"/>
        </w:rPr>
        <w:t>ochrana proti hluku a vibracím</w:t>
      </w:r>
    </w:p>
    <w:p>
      <w:pPr>
        <w:pStyle w:val="Normal"/>
        <w:spacing w:before="0" w:after="0"/>
        <w:rPr>
          <w:rStyle w:val="Zkladntext1"/>
          <w:rFonts w:cs="Arial"/>
        </w:rPr>
      </w:pPr>
      <w:r>
        <w:rPr>
          <w:rStyle w:val="Zkladntext1"/>
          <w:rFonts w:cs="Arial"/>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  mi předpisy, je nutno zabezpečit pasivní ochranu (kryty, akustické zástěny a pod.). </w:t>
      </w:r>
    </w:p>
    <w:p>
      <w:pPr>
        <w:pStyle w:val="Normal"/>
        <w:spacing w:before="0" w:after="0"/>
        <w:rPr>
          <w:rStyle w:val="Zkladntext1"/>
          <w:rFonts w:cs="Arial"/>
        </w:rPr>
      </w:pPr>
      <w:r>
        <w:rPr>
          <w:rStyle w:val="Zkladntext1"/>
          <w:rFonts w:cs="Arial"/>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3" w:name="_Toc179523861"/>
      <w:bookmarkEnd w:id="3"/>
      <w:r>
        <w:rPr>
          <w:rFonts w:cs="Arial" w:ascii="Arial" w:hAnsi="Arial"/>
          <w:b/>
          <w:bCs/>
        </w:rPr>
        <w:t>ochrana proti znečišťování ovzduší výfukovými  plyny a prachem</w:t>
      </w:r>
    </w:p>
    <w:p>
      <w:pPr>
        <w:pStyle w:val="Normal"/>
        <w:spacing w:before="0" w:after="0"/>
        <w:rPr>
          <w:rStyle w:val="Zkladntext1"/>
          <w:rFonts w:cs="Arial"/>
        </w:rPr>
      </w:pPr>
      <w:r>
        <w:rPr>
          <w:rStyle w:val="Zkladntext1"/>
          <w:rFonts w:cs="Arial"/>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4" w:name="_Toc179523862"/>
      <w:bookmarkEnd w:id="4"/>
      <w:r>
        <w:rPr>
          <w:rFonts w:cs="Arial" w:ascii="Arial" w:hAnsi="Arial"/>
          <w:b/>
          <w:bCs/>
        </w:rPr>
        <w:t>ochrana proti znečišťování komunikací a nadměrné prašnosti</w:t>
      </w:r>
    </w:p>
    <w:p>
      <w:pPr>
        <w:pStyle w:val="Normal"/>
        <w:spacing w:before="0" w:after="0"/>
        <w:rPr>
          <w:rStyle w:val="Zkladntext1"/>
          <w:rFonts w:cs="Arial"/>
        </w:rPr>
      </w:pPr>
      <w:r>
        <w:rPr>
          <w:rStyle w:val="Zkladntext1"/>
          <w:rFonts w:cs="Arial"/>
        </w:rPr>
        <w:t>Vozidla vyjíždějící od staveniště musí být řádně očištěna, aby nedocházelo ke znečišťování  veřejných komunikací zejména zeminou, betonovou směsí a 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5" w:name="_Toc179523863"/>
      <w:bookmarkEnd w:id="5"/>
      <w:r>
        <w:rPr>
          <w:rFonts w:cs="Arial" w:ascii="Arial" w:hAnsi="Arial"/>
          <w:b/>
        </w:rPr>
        <w:t>ochrana  proti  znečišťování  podzemních  a povrchových vod a kanalizace</w:t>
      </w:r>
    </w:p>
    <w:p>
      <w:pPr>
        <w:pStyle w:val="Normal"/>
        <w:spacing w:before="0" w:after="0"/>
        <w:rPr>
          <w:rStyle w:val="Zkladntext1"/>
          <w:rFonts w:cs="Arial"/>
        </w:rPr>
      </w:pPr>
      <w:r>
        <w:rPr>
          <w:rStyle w:val="Zkladntext1"/>
          <w:rFonts w:cs="Arial"/>
        </w:rPr>
        <w:t xml:space="preserve">Po dobu výstavby je nutno při provádění stavebních prací a provozu zařízení  staveniště vhodným způsobem  zabezpečit, aby ne  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6" w:name="_Toc179523865"/>
      <w:bookmarkStart w:id="7" w:name="_Toc86650434"/>
      <w:bookmarkStart w:id="8" w:name="_Toc179523864"/>
      <w:bookmarkEnd w:id="6"/>
      <w:bookmarkEnd w:id="7"/>
      <w:bookmarkEnd w:id="8"/>
      <w:r>
        <w:rPr>
          <w:rFonts w:cs="Arial" w:ascii="Arial" w:hAnsi="Arial"/>
          <w:b/>
          <w:bCs/>
        </w:rPr>
        <w:t>Nakládání s odpady ze stavební činnosti</w:t>
      </w:r>
    </w:p>
    <w:p>
      <w:pPr>
        <w:pStyle w:val="Normal"/>
        <w:spacing w:before="0" w:after="0"/>
        <w:rPr>
          <w:rFonts w:cs="Arial" w:ascii="Arial" w:hAnsi="Arial"/>
        </w:rPr>
      </w:pPr>
      <w:bookmarkStart w:id="9" w:name="OLE_LINK4"/>
      <w:bookmarkStart w:id="10" w:name="OLE_LINK3"/>
      <w:bookmarkEnd w:id="9"/>
      <w:bookmarkEnd w:id="10"/>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hl. m. Prahy č. 5/2007 Sb.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1" w:name="OLE_LINK41"/>
      <w:bookmarkStart w:id="12" w:name="OLE_LINK31"/>
      <w:bookmarkStart w:id="13" w:name="_Toc267224628"/>
      <w:bookmarkStart w:id="14" w:name="_Toc86650435"/>
      <w:bookmarkEnd w:id="11"/>
      <w:bookmarkEnd w:id="12"/>
      <w:bookmarkEnd w:id="13"/>
      <w:bookmarkEnd w:id="14"/>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5" w:name="_Toc179523851"/>
      <w:bookmarkEnd w:id="15"/>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bookmarkStart w:id="16" w:name="_Toc179523852"/>
      <w:bookmarkEnd w:id="16"/>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7mi denním pracovním týdnu.v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7" w:name="_Toc179523853"/>
      <w:bookmarkStart w:id="18" w:name="_Toc86650433"/>
      <w:bookmarkEnd w:id="17"/>
      <w:bookmarkEnd w:id="18"/>
      <w:r>
        <w:rPr>
          <w:rFonts w:cs="Arial" w:ascii="Arial" w:hAnsi="Arial"/>
          <w:b/>
        </w:rPr>
        <w:t>Bezpečnostní předpisy</w:t>
      </w:r>
    </w:p>
    <w:p>
      <w:pPr>
        <w:pStyle w:val="Normal"/>
        <w:spacing w:before="0" w:after="0"/>
        <w:rPr>
          <w:rStyle w:val="Zkladntext1"/>
          <w:rFonts w:cs="Arial"/>
          <w:u w:val="single"/>
        </w:rPr>
      </w:pPr>
      <w:r>
        <w:rPr>
          <w:rStyle w:val="Zkladntext1"/>
          <w:rFonts w:cs="Arial"/>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MSV č. 77/1965 Sb., o výcviku, způsobilosti a registraci obsluh stavebních strojů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20/1966 Sb., o péči o zdraví lidu,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Směrnice MZ č. 49/1967 Sb., ve znění směrnic MZ č. 17/1970 Sb., o posuzování zdravotní způsobilosti k práci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71/1967 Sb., o správním řízení (správní řád),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174/1968 Sb. o státním odborném dozoru nad bezpečností práce,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50/1978 Sb., o odborné způsobilosti v elektrotechnice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133/1982 Sb. České národní rady o požární ochraně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Sdělení FMZV č. 433/1991 Sb., o sjednání Úmluvy o bezpečnosti a ochraně zdraví ve stavebnictví (č.167)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22/1997 Sb. o technických požadavcích na výrobky a o změně a doplnění některých zákonů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Ministerstva pro místní rozvoj č. 137/1998 Sb., o obecných technických požadavcích na výstavbu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258/2000 Sb., o ochraně veřejného zdraví,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502/2000 Sb., o ochraně zdraví před nepříznivými účinky hluku a vibrací,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185/2001 Sb., o odpadech a o změnách některých dalších zákonů,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11/2002 Sb., kterým se stanoví vzhled a umístění bezpečnostních značek a zavedení signálů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163/2002 Sb., kterým se stanoví technické požadavky na vybrané stavební výrobky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190/2002 Sb., kterým se stanoví technické požadavky na stavební výrobky označované 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17/2003 Sb., kterým se stanoví technické požadavky na elektrická zařízení nízkého napětí</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21/2003 Sb., kterým se stanoví technické požadavky na osobní ochranné prostředky</w:t>
      </w:r>
    </w:p>
    <w:p>
      <w:pPr>
        <w:pStyle w:val="Default"/>
        <w:rPr>
          <w:rFonts w:cs="Arial" w:ascii="Arial" w:hAnsi="Arial"/>
          <w:color w:val="00000A"/>
          <w:sz w:val="20"/>
          <w:szCs w:val="20"/>
          <w:lang w:val="cs-CZ"/>
        </w:rPr>
      </w:pPr>
      <w:r>
        <w:rPr>
          <w:rFonts w:cs="Arial" w:ascii="Arial" w:hAnsi="Arial"/>
          <w:color w:val="00000A"/>
          <w:sz w:val="20"/>
          <w:szCs w:val="20"/>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0"/>
          <w:szCs w:val="20"/>
          <w:lang w:val="cs-CZ"/>
        </w:rPr>
      </w:pPr>
      <w:r>
        <w:rPr>
          <w:rFonts w:cs="Arial" w:ascii="Arial" w:hAnsi="Arial"/>
          <w:color w:val="00000A"/>
          <w:sz w:val="20"/>
          <w:szCs w:val="20"/>
          <w:lang w:val="cs-CZ"/>
        </w:rPr>
        <w:t>Vyhláška MŽP č. 366/2004 Sb., o některých podrobnostech systému prevence závažných havárií</w:t>
      </w:r>
    </w:p>
    <w:p>
      <w:pPr>
        <w:pStyle w:val="Default"/>
        <w:rPr>
          <w:rFonts w:cs="Arial" w:ascii="Arial" w:hAnsi="Arial"/>
          <w:color w:val="00000A"/>
          <w:sz w:val="20"/>
          <w:szCs w:val="20"/>
          <w:lang w:val="cs-CZ"/>
        </w:rPr>
      </w:pPr>
      <w:r>
        <w:rPr>
          <w:rFonts w:cs="Arial" w:ascii="Arial" w:hAnsi="Arial"/>
          <w:color w:val="00000A"/>
          <w:sz w:val="20"/>
          <w:szCs w:val="20"/>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101/2005 Sb. o podrobnějších požadavcích na pracoviště a pracovní prostředí</w:t>
      </w:r>
    </w:p>
    <w:p>
      <w:pPr>
        <w:pStyle w:val="Default"/>
        <w:rPr>
          <w:rFonts w:cs="Arial" w:ascii="Arial" w:hAnsi="Arial"/>
          <w:color w:val="00000A"/>
          <w:sz w:val="20"/>
          <w:szCs w:val="20"/>
          <w:lang w:val="cs-CZ"/>
        </w:rPr>
      </w:pPr>
      <w:r>
        <w:rPr>
          <w:rFonts w:cs="Arial" w:ascii="Arial" w:hAnsi="Arial"/>
          <w:color w:val="00000A"/>
          <w:sz w:val="20"/>
          <w:szCs w:val="20"/>
          <w:lang w:val="cs-CZ"/>
        </w:rPr>
        <w:t>Zákon 251/2005 Sb. o inspekci práce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0"/>
          <w:szCs w:val="20"/>
          <w:lang w:val="cs-CZ"/>
        </w:rPr>
      </w:pPr>
      <w:r>
        <w:rPr>
          <w:rFonts w:cs="Arial" w:ascii="Arial" w:hAnsi="Arial"/>
          <w:color w:val="00000A"/>
          <w:sz w:val="20"/>
          <w:szCs w:val="20"/>
          <w:lang w:val="cs-CZ"/>
        </w:rPr>
        <w:t>Zákon 183/2006 Sb. o územním plánování a stavebním řádu (stavební zákon)</w:t>
      </w:r>
    </w:p>
    <w:p>
      <w:pPr>
        <w:pStyle w:val="Default"/>
        <w:rPr>
          <w:rFonts w:cs="Arial" w:ascii="Arial" w:hAnsi="Arial"/>
          <w:color w:val="00000A"/>
          <w:sz w:val="20"/>
          <w:szCs w:val="20"/>
          <w:lang w:val="cs-CZ"/>
        </w:rPr>
      </w:pPr>
      <w:r>
        <w:rPr>
          <w:rFonts w:cs="Arial" w:ascii="Arial" w:hAnsi="Arial"/>
          <w:color w:val="00000A"/>
          <w:sz w:val="20"/>
          <w:szCs w:val="20"/>
          <w:lang w:val="cs-CZ"/>
        </w:rPr>
        <w:t>Zákon č. 262/2006 Sb. - zákoník práce,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0"/>
          <w:szCs w:val="20"/>
          <w:lang w:val="cs-CZ"/>
        </w:rPr>
      </w:pPr>
      <w:r>
        <w:rPr>
          <w:rFonts w:cs="Arial" w:ascii="Arial" w:hAnsi="Arial"/>
          <w:color w:val="00000A"/>
          <w:sz w:val="20"/>
          <w:szCs w:val="20"/>
          <w:lang w:val="cs-CZ"/>
        </w:rPr>
        <w:t>Vyhláška 499/2006 Sb. o dokumentaci staveb</w:t>
      </w:r>
    </w:p>
    <w:p>
      <w:pPr>
        <w:pStyle w:val="Default"/>
        <w:rPr>
          <w:rFonts w:cs="Arial" w:ascii="Arial" w:hAnsi="Arial"/>
          <w:color w:val="00000A"/>
          <w:sz w:val="20"/>
          <w:szCs w:val="20"/>
          <w:lang w:val="cs-CZ"/>
        </w:rPr>
      </w:pPr>
      <w:r>
        <w:rPr>
          <w:rFonts w:cs="Arial" w:ascii="Arial" w:hAnsi="Arial"/>
          <w:color w:val="00000A"/>
          <w:sz w:val="20"/>
          <w:szCs w:val="20"/>
          <w:lang w:val="cs-CZ"/>
        </w:rPr>
        <w:t>Vyhláška 500/2006 Sb. o územně analytických podkladech, územně plánovací dokumentaci a způsobu evidence územně plánovací činnosti</w:t>
      </w:r>
    </w:p>
    <w:p>
      <w:pPr>
        <w:pStyle w:val="Default"/>
        <w:rPr>
          <w:rFonts w:cs="Arial" w:ascii="Arial" w:hAnsi="Arial"/>
          <w:color w:val="00000A"/>
          <w:sz w:val="20"/>
          <w:szCs w:val="20"/>
          <w:lang w:val="cs-CZ"/>
        </w:rPr>
      </w:pPr>
      <w:r>
        <w:rPr>
          <w:rFonts w:cs="Arial" w:ascii="Arial" w:hAnsi="Arial"/>
          <w:color w:val="00000A"/>
          <w:sz w:val="20"/>
          <w:szCs w:val="20"/>
          <w:lang w:val="cs-CZ"/>
        </w:rPr>
        <w:t>Vyhláška 501/2006 Sb. o obecných požadavcích na využívání území</w:t>
      </w:r>
    </w:p>
    <w:p>
      <w:pPr>
        <w:pStyle w:val="Default"/>
        <w:rPr>
          <w:rFonts w:cs="Arial" w:ascii="Arial" w:hAnsi="Arial"/>
          <w:color w:val="00000A"/>
          <w:sz w:val="20"/>
          <w:szCs w:val="20"/>
          <w:lang w:val="cs-CZ"/>
        </w:rPr>
      </w:pPr>
      <w:r>
        <w:rPr>
          <w:rFonts w:cs="Arial" w:ascii="Arial" w:hAnsi="Arial"/>
          <w:color w:val="00000A"/>
          <w:sz w:val="20"/>
          <w:szCs w:val="20"/>
          <w:lang w:val="cs-CZ"/>
        </w:rPr>
        <w:t>Vyhláška 503/2006 Sb. o podrobnější úpravě územního řízení, veřejnoprávní smlouvy a územního opatření</w:t>
      </w:r>
    </w:p>
    <w:p>
      <w:pPr>
        <w:pStyle w:val="Default"/>
        <w:rPr>
          <w:rFonts w:cs="Arial" w:ascii="Arial" w:hAnsi="Arial"/>
          <w:color w:val="00000A"/>
          <w:sz w:val="20"/>
          <w:szCs w:val="20"/>
          <w:lang w:val="cs-CZ"/>
        </w:rPr>
      </w:pPr>
      <w:r>
        <w:rPr>
          <w:rFonts w:cs="Arial" w:ascii="Arial" w:hAnsi="Arial"/>
          <w:color w:val="00000A"/>
          <w:sz w:val="20"/>
          <w:szCs w:val="20"/>
          <w:lang w:val="cs-CZ"/>
        </w:rPr>
        <w:t>Vyhláška 526/2006 Sb., kterou se provádějí některá ustanovení stavebního zákona ve věcech stavebního řádu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591/2006 Sb., o bližších minimálních požadavcích na bezpečnost a ochranu zdraví při práci na staveništích</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361/2007 Sb., kterým se stanoví podmínky ochrany zdraví při práci, v platném znění</w:t>
      </w:r>
    </w:p>
    <w:p>
      <w:pPr>
        <w:pStyle w:val="Default"/>
        <w:rPr>
          <w:rFonts w:cs="Arial" w:ascii="Arial" w:hAnsi="Arial"/>
          <w:color w:val="00000A"/>
          <w:sz w:val="20"/>
          <w:szCs w:val="20"/>
          <w:lang w:val="cs-CZ"/>
        </w:rPr>
      </w:pPr>
      <w:r>
        <w:rPr>
          <w:rFonts w:cs="Arial" w:ascii="Arial" w:hAnsi="Arial"/>
          <w:color w:val="00000A"/>
          <w:sz w:val="20"/>
          <w:szCs w:val="20"/>
          <w:lang w:val="cs-CZ"/>
        </w:rPr>
        <w:t>Vyhláška č. 23/2008 Sb., o technických podmínkách požární ochrany staveb</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1/2008 Sb. o ochraně zdraví před neionizujícím zářením</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268/2009 Sb. o technických požadavcích na stavby</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19" w:name="_Toc179523854"/>
      <w:bookmarkStart w:id="20" w:name="_Toc172079810"/>
      <w:r>
        <w:rPr>
          <w:rFonts w:cs="Arial" w:ascii="Arial" w:hAnsi="Arial"/>
          <w:b/>
        </w:rPr>
        <w:t>Podmínky bezpečnosti a ochrany zdraví při práci</w:t>
      </w:r>
      <w:bookmarkEnd w:id="19"/>
      <w:bookmarkEnd w:id="20"/>
      <w:r>
        <w:rPr>
          <w:rFonts w:cs="Arial" w:ascii="Arial" w:hAnsi="Arial"/>
          <w:b/>
        </w:rPr>
        <w:t>:</w:t>
      </w:r>
    </w:p>
    <w:p>
      <w:pPr>
        <w:pStyle w:val="Normal"/>
        <w:spacing w:before="0" w:after="0"/>
        <w:rPr>
          <w:rStyle w:val="Zkladntext1"/>
          <w:rFonts w:cs="Arial"/>
        </w:rPr>
      </w:pPr>
      <w:r>
        <w:rPr>
          <w:rStyle w:val="Zkladntext1"/>
          <w:rFonts w:cs="Arial"/>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w:t>
      </w:r>
    </w:p>
    <w:p>
      <w:pPr>
        <w:pStyle w:val="Normal"/>
        <w:spacing w:before="0" w:after="0"/>
        <w:rPr>
          <w:rStyle w:val="Zkladntext1"/>
          <w:rFonts w:cs="Arial"/>
        </w:rPr>
      </w:pPr>
      <w:r>
        <w:rPr>
          <w:rStyle w:val="Zkladntext1"/>
          <w:rFonts w:cs="Arial"/>
        </w:rPr>
        <w:t>Před zahájením prací musí být všichni pracovníci na stavbě poučeni o bezpečnostních předpisech pro všechny práce, které přicházejí do úvahy. Tato opatření musí být řádně zajištěna a kontrolována.</w:t>
      </w:r>
    </w:p>
    <w:p>
      <w:pPr>
        <w:pStyle w:val="Normal"/>
        <w:spacing w:before="0" w:after="0"/>
        <w:rPr>
          <w:rStyle w:val="Zkladntext1"/>
          <w:rFonts w:cs="Arial"/>
        </w:rPr>
      </w:pPr>
      <w:r>
        <w:rPr>
          <w:rStyle w:val="Zkladntext1"/>
          <w:rFonts w:cs="Arial"/>
        </w:rPr>
        <w:t>Všichni pracovníci musí používat předepsané ochranné pomůcky. Na pracovišti musí být udržován pořádek a čistota. Musí být dbáno ochrany proti požáru a protipožární pomůcky se musí udržovat v pohotovosti.</w:t>
      </w:r>
    </w:p>
    <w:p>
      <w:pPr>
        <w:pStyle w:val="Normal"/>
        <w:spacing w:before="0" w:after="0"/>
        <w:rPr>
          <w:rStyle w:val="Zkladntext1"/>
          <w:rFonts w:cs="Arial"/>
        </w:rPr>
      </w:pPr>
      <w:r>
        <w:rPr>
          <w:rStyle w:val="Zkladntext1"/>
          <w:rFonts w:cs="Arial"/>
        </w:rPr>
        <w:t>Práce na el. zařízeních smí provádět pouze k tomu určený přezkoušený elektrikář. Připojení  elektrických vedení se mohou  provádět jen za odborného dozoru příslušných rozvodných závodů.</w:t>
      </w:r>
    </w:p>
    <w:p>
      <w:pPr>
        <w:pStyle w:val="Normal"/>
        <w:spacing w:before="0" w:after="0"/>
        <w:rPr>
          <w:rStyle w:val="Zkladntext1"/>
          <w:rFonts w:cs="Arial"/>
        </w:rPr>
      </w:pPr>
      <w:r>
        <w:rPr>
          <w:rStyle w:val="Zkladntext1"/>
          <w:rFonts w:cs="Arial"/>
        </w:rPr>
        <w:t>Od veřejného provozu musí být jednotlivá staveniště oddělena zábranami.</w:t>
      </w:r>
    </w:p>
    <w:p>
      <w:pPr>
        <w:pStyle w:val="Normal"/>
        <w:spacing w:before="0" w:after="0"/>
        <w:rPr>
          <w:rStyle w:val="Zkladntext1"/>
          <w:rFonts w:cs="Arial"/>
        </w:rPr>
      </w:pPr>
      <w:r>
        <w:rPr>
          <w:rStyle w:val="Zkladntext1"/>
          <w:rFonts w:cs="Arial"/>
        </w:rPr>
        <w:t>Podzemní investice je nutno před zahájením prací řádně vytýčit a zabezpečit během prací proti poškození.</w:t>
      </w:r>
    </w:p>
    <w:p>
      <w:pPr>
        <w:pStyle w:val="Normal"/>
        <w:spacing w:before="0" w:after="0"/>
        <w:rPr>
          <w:rStyle w:val="Zkladntext1"/>
          <w:rFonts w:cs="Arial"/>
        </w:rPr>
      </w:pPr>
      <w:r>
        <w:rPr>
          <w:rStyle w:val="Zkladntext1"/>
          <w:rFonts w:cs="Arial"/>
        </w:rPr>
        <w:t>Práce na stavbě musí být prováděny v souladu se zhotovitelem zpracovanými technologickými postupy pro jednotlivé činnosti.</w:t>
      </w:r>
    </w:p>
    <w:p>
      <w:pPr>
        <w:pStyle w:val="Normal"/>
        <w:spacing w:before="0" w:after="0"/>
        <w:rPr>
          <w:rFonts w:cs="Arial" w:ascii="Arial" w:hAnsi="Arial"/>
          <w:b/>
        </w:rPr>
      </w:pPr>
      <w:bookmarkStart w:id="21" w:name="_Toc179523855"/>
      <w:bookmarkStart w:id="22" w:name="_Toc172079811"/>
      <w:bookmarkEnd w:id="21"/>
      <w:bookmarkEnd w:id="22"/>
      <w:r>
        <w:rPr>
          <w:rFonts w:cs="Arial" w:ascii="Arial" w:hAnsi="Arial"/>
          <w:b/>
        </w:rPr>
        <w:t>Plán bezpečnosti a ochrany zdraví při práci</w:t>
      </w:r>
    </w:p>
    <w:p>
      <w:pPr>
        <w:pStyle w:val="Normal"/>
        <w:spacing w:before="0" w:after="0"/>
        <w:rPr>
          <w:rFonts w:cs="Arial" w:ascii="Arial" w:hAnsi="Arial"/>
        </w:rPr>
      </w:pPr>
      <w:bookmarkStart w:id="23" w:name="OLE_LINK6"/>
      <w:bookmarkStart w:id="24" w:name="OLE_LINK5"/>
      <w:bookmarkEnd w:id="23"/>
      <w:bookmarkEnd w:id="24"/>
      <w:r>
        <w:rPr>
          <w:rStyle w:val="Zkladntext1"/>
          <w:rFonts w:cs="Arial"/>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Normal"/>
        <w:spacing w:before="0" w:after="0"/>
        <w:rPr>
          <w:rFonts w:cs="Arial" w:ascii="Arial" w:hAnsi="Arial"/>
        </w:rPr>
      </w:pPr>
      <w:r>
        <w:rPr>
          <w:rFonts w:cs="Arial" w:ascii="Arial" w:hAnsi="Arial"/>
        </w:rPr>
      </w:r>
    </w:p>
    <w:p>
      <w:pPr>
        <w:pStyle w:val="Default"/>
        <w:rPr>
          <w:rFonts w:cs="Arial" w:ascii="Arial" w:hAnsi="Arial"/>
          <w:color w:val="00000A"/>
          <w:sz w:val="22"/>
          <w:szCs w:val="22"/>
          <w:lang w:val="cs-CZ"/>
        </w:rPr>
      </w:pPr>
      <w:bookmarkStart w:id="25" w:name="OLE_LINK61"/>
      <w:bookmarkStart w:id="26" w:name="OLE_LINK51"/>
      <w:bookmarkEnd w:id="25"/>
      <w:bookmarkEnd w:id="26"/>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 začátek stavebních prací   – 05/2015</w:t>
      </w:r>
    </w:p>
    <w:p>
      <w:pPr>
        <w:pStyle w:val="Normal"/>
        <w:spacing w:before="0" w:after="0"/>
        <w:rPr>
          <w:rFonts w:cs="Arial" w:ascii="Arial" w:hAnsi="Arial"/>
        </w:rPr>
      </w:pPr>
      <w:r>
        <w:rPr>
          <w:rFonts w:cs="Arial" w:ascii="Arial" w:hAnsi="Arial"/>
        </w:rPr>
        <w:t>- ukončení stavebních prací – 10/2015</w:t>
      </w:r>
    </w:p>
    <w:p>
      <w:pPr>
        <w:pStyle w:val="Normal"/>
        <w:rPr>
          <w:rFonts w:cs="Arial" w:ascii="Arial" w:hAnsi="Arial"/>
        </w:rPr>
      </w:pPr>
      <w:r>
        <w:rPr>
          <w:rFonts w:cs="Arial" w:ascii="Arial" w:hAnsi="Arial"/>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245 a 246 v Domažlicích, konkrétně obvodového pláště, zateplení fasád a související práce dvou panelových domů v ulici 17. listopadu v části Domažlic na Hořejším Předměstí. Pozemek parc. č.3302 a 3303, na kterém se objekty nachází je na jižním svahu. Objekty mají parc. č.3302 a parc. č.3303. Dům byl postaven v roce 1984 konstrukčním systémem PD 69 – E2. Jde o řadový panelový dům sestavený ze dvou dilatačních celků. Obvodové stěny jsou tvořeny celostěnovými jednovrstvými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 V jedné sekci nájemního podlaží bytového domu jsou dva byty, celkem tedy 2 x 4 x 2 = 16 bytů.</w:t>
      </w:r>
    </w:p>
    <w:p>
      <w:pPr>
        <w:pStyle w:val="Normal"/>
        <w:widowControl w:val="false"/>
        <w:spacing w:before="0" w:after="0"/>
        <w:jc w:val="both"/>
        <w:rPr>
          <w:rFonts w:cs="Arial" w:ascii="Arial" w:hAnsi="Arial"/>
          <w:bCs/>
        </w:rPr>
      </w:pPr>
      <w:r>
        <w:rPr>
          <w:rFonts w:cs="Arial" w:ascii="Arial" w:hAnsi="Arial"/>
          <w:bCs/>
        </w:rPr>
        <w:t>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+ 13,300 m od U.T. a + 14.300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412,16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6.453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 popř. položena nová krytina – živičné asf. pasy.</w:t>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 xml:space="preserve">Jedná se o revitalizaci panelového řadového domu, který se skládá ze dvou dilatačních celků. Objekty čp. 245 a 246 v ulici 17. listopadu v Domažlicích, Hořejším Předměstí má 1.PP s provozními místnostmi a 4 NP – celkem 16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difůzní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t>Počet bytů celkem</w:t>
        <w:tab/>
        <w:tab/>
        <w:tab/>
        <w:tab/>
        <w:tab/>
        <w:t>16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412,16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6.453 m</w:t>
      </w:r>
      <w:r>
        <w:rPr>
          <w:rFonts w:cs="Arial" w:ascii="Arial" w:hAnsi="Arial"/>
          <w:bCs/>
          <w:vertAlign w:val="superscript"/>
        </w:rPr>
        <w:t>3</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keramzitobetonovými panely. Štítové stěny jsou ze sendvičových panelů. Střecha je dvouplášťová odvětrávaná do atiky. Teplná izolace z min. vláken je uložena na spodní střešní konstrukci. Do střešního prostoru byla při rekonstrukci v roce 2001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w:t>
      </w:r>
    </w:p>
    <w:p>
      <w:pPr>
        <w:pStyle w:val="Normal"/>
        <w:spacing w:before="0" w:after="0"/>
        <w:rPr>
          <w:rFonts w:cs="Arial" w:ascii="Arial" w:hAnsi="Arial"/>
        </w:rPr>
      </w:pPr>
      <w:r>
        <w:rPr>
          <w:rFonts w:cs="Arial" w:ascii="Arial" w:hAnsi="Arial"/>
        </w:rPr>
        <w:t>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při, balkonových zábradlích,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viz výkresy. Nové povrchy na balkonech, vstupech, kolem objektu bude okapový chodník v š – 0,60m (betonová dlažba přírodní 600/600mm utažená do bet. zahradního obrubníku)</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ze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vnitřrní parapet – např. mipolan - bílý</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mipolan.</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penetrovaného plechu</w:t>
      </w:r>
    </w:p>
    <w:p>
      <w:pPr>
        <w:pStyle w:val="Normal"/>
        <w:spacing w:before="0" w:after="0"/>
        <w:rPr>
          <w:rFonts w:ascii="Arial" w:hAnsi="Arial"/>
          <w:b/>
        </w:rPr>
      </w:pPr>
      <w:r>
        <w:rPr>
          <w:rFonts w:ascii="Arial" w:hAnsi="Arial"/>
          <w:b/>
        </w:rPr>
        <w:t xml:space="preserve">Výměna poštovních schránek: </w:t>
      </w:r>
    </w:p>
    <w:p>
      <w:pPr>
        <w:pStyle w:val="Normal"/>
        <w:spacing w:before="0" w:after="0"/>
        <w:rPr>
          <w:rFonts w:ascii="Arial" w:hAnsi="Arial"/>
        </w:rPr>
      </w:pP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spacing w:before="0" w:after="0"/>
        <w:rPr>
          <w:rFonts w:cs="Arial" w:ascii="Arial" w:hAnsi="Arial"/>
          <w:sz w:val="22"/>
          <w:szCs w:val="22"/>
        </w:rPr>
      </w:pPr>
      <w:r>
        <w:rPr>
          <w:rFonts w:cs="Arial" w:ascii="Arial" w:hAnsi="Arial"/>
          <w:b/>
          <w:sz w:val="22"/>
          <w:szCs w:val="22"/>
        </w:rPr>
        <w:t>Sušák na prádlo</w:t>
      </w:r>
      <w:r>
        <w:rPr>
          <w:rFonts w:cs="Arial" w:ascii="Arial" w:hAnsi="Arial"/>
          <w:sz w:val="22"/>
          <w:szCs w:val="22"/>
        </w:rPr>
        <w:t xml:space="preserve"> 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 Jezdce lze také i se šňůrami ze sušáku jednoduše sundat.</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difůzní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izolací,povětrnostní regulací i s ochrannými protiprachovými filtry a s odtahem vzduchu z provozních prostor bytu (koupelna,Wc)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Ing.arch.M.Březina</w:t>
      </w:r>
    </w:p>
    <w:p>
      <w:pPr>
        <w:pStyle w:val="Normal"/>
        <w:spacing w:before="0" w:after="0"/>
        <w:rPr>
          <w:rFonts w:ascii="Arial" w:hAnsi="Arial"/>
        </w:rPr>
      </w:pPr>
      <w:r>
        <w:rPr>
          <w:rFonts w:ascii="Arial" w:hAnsi="Arial"/>
        </w:rPr>
        <w:tab/>
        <w:tab/>
        <w:tab/>
        <w:tab/>
        <w:tab/>
        <w:t xml:space="preserve">  Ing.arch.V. Matějka</w:t>
      </w:r>
    </w:p>
    <w:p>
      <w:pPr>
        <w:pStyle w:val="Normal"/>
        <w:spacing w:before="0" w:after="0"/>
        <w:rPr>
          <w:rFonts w:ascii="Arial" w:hAnsi="Arial"/>
        </w:rPr>
      </w:pPr>
      <w:r>
        <w:rPr>
          <w:rFonts w:ascii="Arial" w:hAnsi="Arial"/>
        </w:rPr>
        <w:tab/>
        <w:tab/>
        <w:tab/>
        <w:tab/>
        <w:tab/>
        <w:t xml:space="preserve">  Ing.arch.M. Jamborová</w:t>
        <w:tab/>
      </w:r>
    </w:p>
    <w:p>
      <w:pPr>
        <w:pStyle w:val="Normal"/>
        <w:spacing w:before="0" w:after="0"/>
        <w:rPr>
          <w:rFonts w:ascii="Arial" w:hAnsi="Arial"/>
        </w:rPr>
      </w:pPr>
      <w:r>
        <w:rPr>
          <w:rFonts w:ascii="Arial" w:hAnsi="Arial"/>
        </w:rPr>
        <w:tab/>
        <w:tab/>
        <w:tab/>
        <w:tab/>
        <w:tab/>
        <w:t xml:space="preserve">  Ing.arch.Š. Ullwerová</w:t>
        <w:tab/>
        <w:t xml:space="preserve">  </w:t>
      </w:r>
    </w:p>
    <w:p>
      <w:pPr>
        <w:pStyle w:val="Normal"/>
        <w:spacing w:before="0" w:after="0"/>
        <w:rPr>
          <w:rFonts w:ascii="Arial" w:hAnsi="Arial"/>
        </w:rPr>
      </w:pPr>
      <w:r>
        <w:rPr>
          <w:rFonts w:ascii="Arial" w:hAnsi="Arial"/>
        </w:rPr>
        <w:tab/>
        <w:tab/>
        <w:tab/>
        <w:tab/>
        <w:tab/>
        <w:t>-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A. Ulčová rozpočty</w:t>
      </w:r>
    </w:p>
    <w:p>
      <w:pPr>
        <w:pStyle w:val="Normal"/>
        <w:spacing w:before="0" w:after="0"/>
        <w:rPr>
          <w:rFonts w:ascii="Arial" w:hAnsi="Arial"/>
        </w:rPr>
      </w:pPr>
      <w:r>
        <w:rPr>
          <w:rFonts w:ascii="Arial" w:hAnsi="Arial"/>
        </w:rPr>
        <w:tab/>
        <w:tab/>
        <w:tab/>
        <w:tab/>
        <w:tab/>
        <w:t>- ing. M. Kohout rozpočty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 xml:space="preserve">SEZNAM </w:t>
      </w:r>
      <w:bookmarkStart w:id="27" w:name="_GoBack"/>
      <w:bookmarkEnd w:id="27"/>
      <w:r>
        <w:rPr>
          <w:rFonts w:cs="Arial" w:ascii="Arial" w:hAnsi="Arial"/>
          <w:b/>
        </w:rPr>
        <w:t>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245 a 246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5412740" cy="4057650"/>
            <wp:effectExtent l="0" t="0" r="0" b="0"/>
            <wp:docPr id="8" name="Picture" descr="C:\Users\Martin\Desktop\fotky pancusy\Pančusy\IMG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Martin\Desktop\fotky pancusy\Pančusy\IMG_1780.JPG"/>
                    <pic:cNvPicPr>
                      <a:picLocks noChangeAspect="1" noChangeArrowheads="1"/>
                    </pic:cNvPicPr>
                  </pic:nvPicPr>
                  <pic:blipFill>
                    <a:blip r:embed="rId11"/>
                    <a:stretch>
                      <a:fillRect/>
                    </a:stretch>
                  </pic:blipFill>
                  <pic:spPr bwMode="auto">
                    <a:xfrm>
                      <a:off x="0" y="0"/>
                      <a:ext cx="5412740" cy="40576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spacing w:before="0" w:after="160"/>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spacing w:before="0" w:after="160"/>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spacing w:before="0" w:after="160"/>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spacing w:before="0" w:after="160"/>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spacing w:before="0" w:after="160"/>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spacing w:before="0" w:after="160"/>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p>
      <w:pPr>
        <w:pStyle w:val="Normal"/>
        <w:widowControl w:val="false"/>
        <w:spacing w:before="0" w:after="0"/>
        <w:jc w:val="both"/>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91"/>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76"/>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5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5a4d27"/>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9134ed"/>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9134ed"/>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TextbublinyChar" w:customStyle="1">
    <w:name w:val="Text bubliny Char"/>
    <w:uiPriority w:val="99"/>
    <w:semiHidden/>
    <w:link w:val="Textbubliny"/>
    <w:rsid w:val="005a4d27"/>
    <w:basedOn w:val="DefaultParagraphFont"/>
    <w:rPr>
      <w:rFonts w:ascii="Tahoma" w:hAnsi="Tahoma" w:cs="Tahoma"/>
      <w:sz w:val="16"/>
      <w:szCs w:val="16"/>
    </w:rPr>
  </w:style>
  <w:style w:type="character" w:styleId="Nadpis1Char" w:customStyle="1">
    <w:name w:val="Nadpis 1 Char"/>
    <w:link w:val="Nadpis1"/>
    <w:rsid w:val="009134ed"/>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9134ed"/>
    <w:basedOn w:val="DefaultParagraphFont"/>
    <w:rPr>
      <w:rFonts w:ascii="Arial" w:hAnsi="Arial" w:eastAsia="Times New Roman" w:cs="Arial"/>
      <w:b/>
      <w:bCs/>
      <w:iCs/>
      <w:sz w:val="24"/>
      <w:szCs w:val="28"/>
      <w:lang w:eastAsia="ar-SA"/>
    </w:rPr>
  </w:style>
  <w:style w:type="character" w:styleId="Internetovodkaz">
    <w:name w:val="Internetový odkaz"/>
    <w:uiPriority w:val="99"/>
    <w:unhideWhenUsed/>
    <w:rsid w:val="009134ed"/>
    <w:basedOn w:val="DefaultParagraphFont"/>
    <w:rPr>
      <w:color w:val="0000FF"/>
      <w:u w:val="single"/>
      <w:lang w:val="zxx" w:eastAsia="zxx" w:bidi="zxx"/>
    </w:rPr>
  </w:style>
  <w:style w:type="character" w:styleId="Zkladntext1" w:customStyle="1">
    <w:name w:val="Základní text 1"/>
    <w:uiPriority w:val="99"/>
    <w:rsid w:val="009134ed"/>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9134ed"/>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9134ed"/>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9134ed"/>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9134ed"/>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5a4d27"/>
    <w:basedOn w:val="Normal"/>
    <w:pPr>
      <w:spacing w:lineRule="auto" w:line="240" w:before="0" w:after="0"/>
    </w:pPr>
    <w:rPr>
      <w:rFonts w:ascii="Tahoma" w:hAnsi="Tahoma" w:cs="Tahoma"/>
      <w:sz w:val="16"/>
      <w:szCs w:val="16"/>
    </w:rPr>
  </w:style>
  <w:style w:type="paragraph" w:styleId="NoSpacing">
    <w:name w:val="No Spacing"/>
    <w:uiPriority w:val="1"/>
    <w:qFormat/>
    <w:rsid w:val="00c97946"/>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9134ed"/>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9134ed"/>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9134ed"/>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9134ed"/>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9134ed"/>
    <w:basedOn w:val="Odsazen3"/>
    <w:pPr/>
    <w:rPr/>
  </w:style>
  <w:style w:type="paragraph" w:styleId="Dka" w:customStyle="1">
    <w:name w:val="Řádka"/>
    <w:uiPriority w:val="99"/>
    <w:link w:val="dkaChar"/>
    <w:rsid w:val="009134ed"/>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9134ed"/>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9134ed"/>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27.jpeg"/><Relationship Id="rId3" Type="http://schemas.openxmlformats.org/officeDocument/2006/relationships/image" Target="media/image128.jpeg"/><Relationship Id="rId4" Type="http://schemas.openxmlformats.org/officeDocument/2006/relationships/image" Target="media/image129.jpeg"/><Relationship Id="rId5" Type="http://schemas.openxmlformats.org/officeDocument/2006/relationships/image" Target="media/image130.jpeg"/><Relationship Id="rId6" Type="http://schemas.openxmlformats.org/officeDocument/2006/relationships/image" Target="media/image131.jpeg"/><Relationship Id="rId7" Type="http://schemas.openxmlformats.org/officeDocument/2006/relationships/image" Target="media/image132.jpeg"/><Relationship Id="rId8" Type="http://schemas.openxmlformats.org/officeDocument/2006/relationships/image" Target="media/image133.jpeg"/><Relationship Id="rId9" Type="http://schemas.openxmlformats.org/officeDocument/2006/relationships/image" Target="media/image134.jpeg"/><Relationship Id="rId10" Type="http://schemas.openxmlformats.org/officeDocument/2006/relationships/hyperlink" Target="mailto:sprava@dns-domazlice.cz" TargetMode="External"/><Relationship Id="rId11" Type="http://schemas.openxmlformats.org/officeDocument/2006/relationships/image" Target="media/image135.jpeg"/><Relationship Id="rId12" Type="http://schemas.openxmlformats.org/officeDocument/2006/relationships/image" Target="media/image136.jpeg"/><Relationship Id="rId13" Type="http://schemas.openxmlformats.org/officeDocument/2006/relationships/image" Target="media/image137.jpeg"/><Relationship Id="rId14" Type="http://schemas.openxmlformats.org/officeDocument/2006/relationships/image" Target="media/image138.jpeg"/><Relationship Id="rId15" Type="http://schemas.openxmlformats.org/officeDocument/2006/relationships/image" Target="media/image139.jpeg"/><Relationship Id="rId16" Type="http://schemas.openxmlformats.org/officeDocument/2006/relationships/image" Target="media/image140.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Relationship Id="rId21" Type="http://schemas.openxmlformats.org/officeDocument/2006/relationships/customXml" Target="../customXml/item1.xml"/>
</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566685-BA22-4E18-98EA-EC42A64554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2014-10-29T13:59:00Z</dcterms:created>
  <dc:creator>Martin</dc:creator>
  <dc:language>cs-CZ</dc:language>
  <cp:lastModifiedBy>Ivan</cp:lastModifiedBy>
  <cp:lastPrinted>2014-10-23T15:29:00Z</cp:lastPrinted>
  <dcterms:modified xsi:type="dcterms:W3CDTF">2014-10-29T13:59:00Z</dcterms:modified>
  <cp:revision>2</cp:revision>
</cp:coreProperties>
</file>