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0E1779E9"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 xml:space="preserve">Název zakázky / veřejné </w:t>
      </w:r>
      <w:r w:rsidR="00546684" w:rsidRPr="00F7188E">
        <w:rPr>
          <w:rFonts w:ascii="Segoe UI" w:eastAsia="Calibri" w:hAnsi="Segoe UI" w:cs="Segoe UI"/>
          <w:b/>
        </w:rPr>
        <w:t>zakázky:</w:t>
      </w:r>
      <w:r w:rsidR="00546684">
        <w:rPr>
          <w:rFonts w:ascii="Segoe UI" w:eastAsia="Calibri" w:hAnsi="Segoe UI" w:cs="Segoe UI"/>
          <w:b/>
        </w:rPr>
        <w:t xml:space="preserve"> </w:t>
      </w:r>
      <w:r w:rsidR="00920423">
        <w:rPr>
          <w:rFonts w:ascii="Segoe UI" w:eastAsia="Calibri" w:hAnsi="Segoe UI" w:cs="Segoe UI"/>
          <w:b/>
        </w:rPr>
        <w:t xml:space="preserve">TDS </w:t>
      </w:r>
      <w:r w:rsidR="00546684">
        <w:rPr>
          <w:rFonts w:ascii="Segoe UI" w:eastAsia="Calibri" w:hAnsi="Segoe UI" w:cs="Segoe UI"/>
          <w:b/>
        </w:rPr>
        <w:t>Vegetační</w:t>
      </w:r>
      <w:r w:rsidR="004F6FEF">
        <w:rPr>
          <w:rStyle w:val="Zdraznn"/>
          <w:rFonts w:ascii="Calibri" w:eastAsia="Nimbus Roman No9 L" w:hAnsi="Calibri" w:cs="Calibri"/>
          <w:b/>
          <w:bCs/>
          <w:i w:val="0"/>
          <w:iCs w:val="0"/>
          <w:color w:val="000000"/>
          <w:sz w:val="24"/>
          <w:szCs w:val="24"/>
          <w:shd w:val="clear" w:color="auto" w:fill="FFFFFF"/>
        </w:rPr>
        <w:t xml:space="preserve"> ČOV na vrcholu Čerchova</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6FE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684"/>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423"/>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2068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13</cp:revision>
  <cp:lastPrinted>2014-12-18T09:05:00Z</cp:lastPrinted>
  <dcterms:created xsi:type="dcterms:W3CDTF">2024-03-18T14:35:00Z</dcterms:created>
  <dcterms:modified xsi:type="dcterms:W3CDTF">2026-03-05T12:07:00Z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